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adjustRightInd w:val="0"/>
        <w:snapToGrid w:val="0"/>
        <w:spacing w:line="590" w:lineRule="exact"/>
        <w:ind w:left="0" w:leftChars="0" w:right="0" w:firstLine="0" w:firstLineChars="0"/>
        <w:jc w:val="right"/>
        <w:textAlignment w:val="auto"/>
        <w:outlineLvl w:val="9"/>
        <w:rPr>
          <w:rFonts w:hint="eastAsia" w:ascii="楷体_GB2312" w:hAnsi="楷体_GB2312" w:eastAsia="楷体_GB2312" w:cs="楷体_GB2312"/>
          <w:color w:val="auto"/>
          <w:w w:val="100"/>
          <w:sz w:val="32"/>
          <w:szCs w:val="32"/>
          <w:highlight w:val="none"/>
          <w:lang w:eastAsia="zh-CN"/>
        </w:rPr>
      </w:pPr>
      <w:bookmarkStart w:id="12" w:name="_GoBack"/>
      <w:bookmarkEnd w:id="12"/>
    </w:p>
    <w:p>
      <w:pPr>
        <w:adjustRightInd w:val="0"/>
        <w:snapToGrid w:val="0"/>
        <w:rPr>
          <w:rFonts w:eastAsia="方正小标宋简体"/>
          <w:color w:val="000000"/>
          <w:w w:val="95"/>
          <w:sz w:val="44"/>
          <w:szCs w:val="44"/>
          <w:highlight w:val="none"/>
        </w:rPr>
      </w:pPr>
    </w:p>
    <w:p>
      <w:pPr>
        <w:pStyle w:val="6"/>
        <w:ind w:firstLine="640"/>
        <w:rPr>
          <w:color w:val="000000"/>
          <w:highlight w:val="none"/>
        </w:rPr>
      </w:pPr>
    </w:p>
    <w:p>
      <w:pPr>
        <w:rPr>
          <w:color w:val="000000"/>
          <w:highlight w:val="none"/>
        </w:rPr>
      </w:pPr>
    </w:p>
    <w:p>
      <w:pPr>
        <w:pStyle w:val="6"/>
        <w:rPr>
          <w:highlight w:val="none"/>
        </w:rPr>
      </w:pPr>
    </w:p>
    <w:p/>
    <w:p>
      <w:pPr>
        <w:adjustRightInd w:val="0"/>
        <w:snapToGrid w:val="0"/>
        <w:spacing w:line="240" w:lineRule="auto"/>
        <w:ind w:firstLine="0" w:firstLineChars="0"/>
        <w:jc w:val="center"/>
        <w:rPr>
          <w:rFonts w:hint="eastAsia" w:ascii="方正小标宋_GBK" w:hAnsi="方正小标宋_GBK" w:eastAsia="方正小标宋_GBK" w:cs="方正小标宋_GBK"/>
          <w:color w:val="000000"/>
          <w:w w:val="100"/>
          <w:sz w:val="48"/>
          <w:szCs w:val="48"/>
          <w:highlight w:val="none"/>
        </w:rPr>
      </w:pPr>
      <w:r>
        <w:rPr>
          <w:rFonts w:hint="eastAsia" w:ascii="方正小标宋_GBK" w:hAnsi="方正小标宋_GBK" w:eastAsia="方正小标宋_GBK" w:cs="方正小标宋_GBK"/>
          <w:color w:val="000000"/>
          <w:w w:val="100"/>
          <w:sz w:val="48"/>
          <w:szCs w:val="48"/>
          <w:highlight w:val="none"/>
        </w:rPr>
        <w:t>余杭区“十四五”民政事业发展规划</w:t>
      </w:r>
    </w:p>
    <w:p>
      <w:pPr>
        <w:pStyle w:val="7"/>
        <w:spacing w:line="590" w:lineRule="exact"/>
        <w:ind w:firstLine="0" w:firstLineChars="0"/>
        <w:jc w:val="center"/>
        <w:rPr>
          <w:rFonts w:hint="eastAsia" w:ascii="楷体_GB2312" w:hAnsi="楷体_GB2312" w:eastAsia="楷体_GB2312" w:cs="楷体_GB2312"/>
          <w:sz w:val="36"/>
          <w:szCs w:val="36"/>
          <w:lang w:val="en-US" w:eastAsia="zh-CN"/>
        </w:rPr>
      </w:pPr>
    </w:p>
    <w:p>
      <w:pPr>
        <w:spacing w:line="720" w:lineRule="exact"/>
        <w:jc w:val="center"/>
        <w:rPr>
          <w:rFonts w:ascii="方正小标宋_GBK" w:eastAsia="方正小标宋_GBK"/>
          <w:sz w:val="44"/>
          <w:szCs w:val="44"/>
          <w:highlight w:val="none"/>
        </w:rPr>
      </w:pPr>
    </w:p>
    <w:p>
      <w:pPr>
        <w:adjustRightInd w:val="0"/>
        <w:snapToGrid w:val="0"/>
        <w:jc w:val="center"/>
        <w:rPr>
          <w:rFonts w:ascii="宋体" w:hAnsi="宋体"/>
          <w:b/>
          <w:sz w:val="52"/>
          <w:szCs w:val="52"/>
          <w:highlight w:val="none"/>
        </w:rPr>
      </w:pPr>
    </w:p>
    <w:p>
      <w:pPr>
        <w:adjustRightInd w:val="0"/>
        <w:snapToGrid w:val="0"/>
        <w:jc w:val="center"/>
        <w:rPr>
          <w:rFonts w:eastAsia="楷体_GB2312"/>
          <w:color w:val="000000"/>
          <w:szCs w:val="32"/>
          <w:highlight w:val="none"/>
        </w:rPr>
      </w:pPr>
    </w:p>
    <w:p>
      <w:pPr>
        <w:adjustRightInd w:val="0"/>
        <w:snapToGrid w:val="0"/>
        <w:ind w:firstLine="1040"/>
        <w:jc w:val="center"/>
        <w:rPr>
          <w:rFonts w:eastAsia="方正小标宋简体"/>
          <w:color w:val="000000"/>
          <w:sz w:val="52"/>
          <w:szCs w:val="52"/>
          <w:highlight w:val="none"/>
        </w:rPr>
      </w:pPr>
    </w:p>
    <w:p>
      <w:pPr>
        <w:widowControl/>
        <w:jc w:val="left"/>
        <w:rPr>
          <w:color w:val="000000"/>
          <w:highlight w:val="none"/>
        </w:rPr>
      </w:pPr>
    </w:p>
    <w:p>
      <w:pPr>
        <w:widowControl/>
        <w:ind w:firstLine="640"/>
        <w:jc w:val="left"/>
        <w:rPr>
          <w:color w:val="000000"/>
          <w:highlight w:val="none"/>
        </w:rPr>
      </w:pPr>
    </w:p>
    <w:p>
      <w:pPr>
        <w:adjustRightInd w:val="0"/>
        <w:snapToGrid w:val="0"/>
        <w:ind w:firstLine="640"/>
        <w:jc w:val="center"/>
        <w:rPr>
          <w:rFonts w:eastAsia="黑体"/>
          <w:color w:val="000000"/>
          <w:szCs w:val="32"/>
          <w:highlight w:val="none"/>
        </w:rPr>
      </w:pPr>
    </w:p>
    <w:p>
      <w:pPr>
        <w:adjustRightInd w:val="0"/>
        <w:snapToGrid w:val="0"/>
        <w:ind w:firstLine="640"/>
        <w:jc w:val="center"/>
        <w:rPr>
          <w:rFonts w:eastAsia="黑体"/>
          <w:color w:val="000000"/>
          <w:szCs w:val="32"/>
          <w:highlight w:val="none"/>
        </w:rPr>
      </w:pPr>
    </w:p>
    <w:p>
      <w:pPr>
        <w:adjustRightInd w:val="0"/>
        <w:snapToGrid w:val="0"/>
        <w:rPr>
          <w:rFonts w:eastAsia="黑体"/>
          <w:color w:val="000000"/>
          <w:szCs w:val="32"/>
          <w:highlight w:val="none"/>
        </w:rPr>
      </w:pPr>
    </w:p>
    <w:p>
      <w:pPr>
        <w:pStyle w:val="6"/>
        <w:ind w:firstLine="640"/>
        <w:rPr>
          <w:rFonts w:eastAsia="黑体"/>
          <w:color w:val="000000"/>
          <w:highlight w:val="none"/>
        </w:rPr>
      </w:pPr>
    </w:p>
    <w:p>
      <w:pPr>
        <w:pStyle w:val="6"/>
        <w:ind w:firstLine="0"/>
        <w:rPr>
          <w:color w:val="000000"/>
          <w:highlight w:val="none"/>
        </w:rPr>
      </w:pPr>
    </w:p>
    <w:p>
      <w:pPr>
        <w:adjustRightInd w:val="0"/>
        <w:snapToGrid w:val="0"/>
        <w:rPr>
          <w:rFonts w:eastAsia="黑体"/>
          <w:color w:val="000000"/>
          <w:szCs w:val="32"/>
          <w:highlight w:val="none"/>
        </w:rPr>
      </w:pPr>
    </w:p>
    <w:p>
      <w:pPr>
        <w:adjustRightInd w:val="0"/>
        <w:snapToGrid w:val="0"/>
        <w:jc w:val="center"/>
        <w:rPr>
          <w:rFonts w:eastAsia="黑体"/>
          <w:color w:val="000000"/>
          <w:szCs w:val="32"/>
          <w:highlight w:val="none"/>
        </w:rPr>
      </w:pPr>
    </w:p>
    <w:p>
      <w:pPr>
        <w:adjustRightInd w:val="0"/>
        <w:snapToGrid w:val="0"/>
        <w:jc w:val="center"/>
        <w:rPr>
          <w:rFonts w:eastAsia="黑体"/>
          <w:color w:val="000000"/>
          <w:szCs w:val="32"/>
          <w:highlight w:val="none"/>
        </w:rPr>
      </w:pPr>
    </w:p>
    <w:p>
      <w:pPr>
        <w:adjustRightInd w:val="0"/>
        <w:snapToGrid w:val="0"/>
        <w:jc w:val="center"/>
        <w:rPr>
          <w:rFonts w:eastAsia="黑体"/>
          <w:color w:val="000000"/>
          <w:szCs w:val="32"/>
          <w:highlight w:val="none"/>
        </w:rPr>
      </w:pPr>
    </w:p>
    <w:p>
      <w:pPr>
        <w:adjustRightInd w:val="0"/>
        <w:snapToGrid w:val="0"/>
        <w:jc w:val="center"/>
        <w:rPr>
          <w:rFonts w:ascii="黑体" w:hAnsi="黑体" w:eastAsia="黑体" w:cs="黑体"/>
          <w:color w:val="000000"/>
          <w:sz w:val="32"/>
          <w:szCs w:val="32"/>
          <w:highlight w:val="none"/>
        </w:rPr>
      </w:pPr>
    </w:p>
    <w:p>
      <w:pPr>
        <w:adjustRightInd w:val="0"/>
        <w:snapToGrid w:val="0"/>
        <w:rPr>
          <w:rFonts w:ascii="黑体" w:hAnsi="黑体" w:eastAsia="黑体" w:cs="黑体"/>
          <w:color w:val="000000"/>
          <w:sz w:val="32"/>
          <w:szCs w:val="32"/>
          <w:highlight w:val="none"/>
        </w:rPr>
      </w:pPr>
    </w:p>
    <w:p>
      <w:pPr>
        <w:adjustRightInd w:val="0"/>
        <w:snapToGrid w:val="0"/>
        <w:jc w:val="center"/>
        <w:rPr>
          <w:rFonts w:ascii="黑体" w:hAnsi="黑体" w:eastAsia="黑体" w:cs="黑体"/>
          <w:color w:val="000000"/>
          <w:sz w:val="32"/>
          <w:szCs w:val="32"/>
          <w:highlight w:val="none"/>
        </w:rPr>
      </w:pPr>
    </w:p>
    <w:p>
      <w:pPr>
        <w:adjustRightInd w:val="0"/>
        <w:snapToGrid w:val="0"/>
        <w:jc w:val="center"/>
        <w:rPr>
          <w:rFonts w:ascii="黑体" w:hAnsi="黑体" w:eastAsia="黑体" w:cs="黑体"/>
          <w:color w:val="000000"/>
          <w:sz w:val="32"/>
          <w:szCs w:val="32"/>
          <w:highlight w:val="none"/>
        </w:rPr>
      </w:pPr>
    </w:p>
    <w:p>
      <w:pPr>
        <w:spacing w:line="560" w:lineRule="exact"/>
        <w:contextualSpacing/>
        <w:rPr>
          <w:rFonts w:ascii="仿宋" w:hAnsi="仿宋" w:eastAsia="仿宋"/>
          <w:b/>
          <w:bCs/>
          <w:sz w:val="28"/>
          <w:szCs w:val="28"/>
          <w:highlight w:val="none"/>
        </w:rPr>
        <w:sectPr>
          <w:headerReference r:id="rId3" w:type="default"/>
          <w:footerReference r:id="rId4" w:type="default"/>
          <w:pgSz w:w="11906" w:h="16838"/>
          <w:pgMar w:top="1440" w:right="1800" w:bottom="1440" w:left="1800" w:header="851" w:footer="992" w:gutter="0"/>
          <w:pgNumType w:fmt="numberInDash" w:start="1"/>
          <w:cols w:space="720" w:num="1"/>
          <w:docGrid w:type="lines" w:linePitch="312" w:charSpace="0"/>
        </w:sectPr>
      </w:pPr>
    </w:p>
    <w:p>
      <w:pPr>
        <w:spacing w:line="560" w:lineRule="exact"/>
        <w:contextualSpacing/>
        <w:jc w:val="center"/>
        <w:rPr>
          <w:rFonts w:ascii="黑体" w:hAnsi="黑体" w:eastAsia="黑体" w:cs="黑体"/>
          <w:sz w:val="36"/>
          <w:szCs w:val="36"/>
          <w:highlight w:val="none"/>
        </w:rPr>
      </w:pPr>
      <w:r>
        <w:rPr>
          <w:rFonts w:hint="eastAsia" w:ascii="黑体" w:hAnsi="黑体" w:eastAsia="黑体" w:cs="黑体"/>
          <w:sz w:val="36"/>
          <w:szCs w:val="36"/>
          <w:highlight w:val="none"/>
        </w:rPr>
        <w:t>目    录</w:t>
      </w:r>
    </w:p>
    <w:p>
      <w:pPr>
        <w:spacing w:line="560" w:lineRule="exact"/>
        <w:contextualSpacing/>
        <w:rPr>
          <w:rFonts w:ascii="仿宋" w:hAnsi="仿宋" w:eastAsia="仿宋"/>
          <w:sz w:val="28"/>
          <w:szCs w:val="28"/>
          <w:highlight w:val="none"/>
          <w:u w:val="dotted"/>
        </w:rPr>
      </w:pPr>
      <w:r>
        <w:rPr>
          <w:rStyle w:val="20"/>
          <w:rFonts w:hint="eastAsia" w:eastAsia="黑体"/>
          <w:sz w:val="28"/>
          <w:szCs w:val="28"/>
          <w:highlight w:val="none"/>
        </w:rPr>
        <w:t>一．规划背景</w:t>
      </w:r>
      <w:r>
        <w:rPr>
          <w:rStyle w:val="20"/>
          <w:rFonts w:eastAsia="黑体"/>
          <w:sz w:val="28"/>
          <w:szCs w:val="28"/>
          <w:highlight w:val="none"/>
        </w:rPr>
        <w:t xml:space="preserve"> </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1</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（一）发展现状</w:t>
      </w:r>
      <w:r>
        <w:rPr>
          <w:rFonts w:hint="eastAsia" w:ascii="仿宋" w:hAnsi="仿宋" w:eastAsia="仿宋"/>
          <w:sz w:val="28"/>
          <w:szCs w:val="28"/>
          <w:highlight w:val="none"/>
        </w:rPr>
        <w:t xml:space="preserve">  ……………………………………………………  </w:t>
      </w:r>
      <w:r>
        <w:rPr>
          <w:rFonts w:hint="eastAsia" w:ascii="仿宋" w:hAnsi="仿宋" w:eastAsia="仿宋"/>
          <w:sz w:val="28"/>
          <w:szCs w:val="28"/>
          <w:highlight w:val="none"/>
          <w:lang w:val="en-US" w:eastAsia="zh-CN"/>
        </w:rPr>
        <w:t>1</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（二）发展机遇</w:t>
      </w:r>
      <w:r>
        <w:rPr>
          <w:rFonts w:hint="eastAsia" w:ascii="仿宋" w:hAnsi="仿宋" w:eastAsia="仿宋"/>
          <w:sz w:val="28"/>
          <w:szCs w:val="28"/>
          <w:highlight w:val="none"/>
        </w:rPr>
        <w:t xml:space="preserve">  ……………………………………………………  </w:t>
      </w:r>
      <w:r>
        <w:rPr>
          <w:rFonts w:hint="eastAsia" w:ascii="仿宋" w:hAnsi="仿宋" w:eastAsia="仿宋"/>
          <w:sz w:val="28"/>
          <w:szCs w:val="28"/>
          <w:highlight w:val="none"/>
          <w:lang w:val="en-US" w:eastAsia="zh-CN"/>
        </w:rPr>
        <w:t>7</w:t>
      </w:r>
    </w:p>
    <w:p>
      <w:pPr>
        <w:spacing w:line="560" w:lineRule="exact"/>
        <w:contextualSpacing/>
        <w:rPr>
          <w:rFonts w:ascii="仿宋" w:hAnsi="仿宋" w:eastAsia="仿宋"/>
          <w:sz w:val="28"/>
          <w:szCs w:val="28"/>
          <w:highlight w:val="none"/>
        </w:rPr>
      </w:pPr>
      <w:r>
        <w:rPr>
          <w:rStyle w:val="20"/>
          <w:rFonts w:hint="eastAsia" w:eastAsia="黑体"/>
          <w:sz w:val="28"/>
          <w:szCs w:val="28"/>
          <w:highlight w:val="none"/>
        </w:rPr>
        <w:t>二．总体定位</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 xml:space="preserve"> </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9</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 xml:space="preserve">（一）指导思想  </w:t>
      </w:r>
      <w:r>
        <w:rPr>
          <w:rFonts w:hint="eastAsia" w:ascii="仿宋" w:hAnsi="仿宋" w:eastAsia="仿宋"/>
          <w:sz w:val="28"/>
          <w:szCs w:val="28"/>
          <w:highlight w:val="none"/>
        </w:rPr>
        <w:t>……………………………………………………</w:t>
      </w:r>
      <w:r>
        <w:rPr>
          <w:rFonts w:hint="eastAsia" w:ascii="仿宋" w:hAnsi="仿宋" w:eastAsia="仿宋"/>
          <w:sz w:val="28"/>
          <w:szCs w:val="28"/>
          <w:highlight w:val="none"/>
          <w:lang w:val="en-US" w:eastAsia="zh-CN"/>
        </w:rPr>
        <w:t xml:space="preserve"> </w:t>
      </w:r>
      <w:r>
        <w:rPr>
          <w:rFonts w:hint="eastAsia" w:ascii="仿宋" w:hAnsi="仿宋" w:eastAsia="仿宋"/>
          <w:sz w:val="28"/>
          <w:szCs w:val="28"/>
          <w:highlight w:val="none"/>
        </w:rPr>
        <w:t xml:space="preserve"> </w:t>
      </w:r>
      <w:r>
        <w:rPr>
          <w:rFonts w:hint="eastAsia" w:ascii="仿宋" w:hAnsi="仿宋" w:eastAsia="仿宋"/>
          <w:sz w:val="28"/>
          <w:szCs w:val="28"/>
          <w:highlight w:val="none"/>
          <w:lang w:val="en-US" w:eastAsia="zh-CN"/>
        </w:rPr>
        <w:t>9</w:t>
      </w:r>
    </w:p>
    <w:p>
      <w:pPr>
        <w:spacing w:line="560" w:lineRule="exact"/>
        <w:ind w:firstLine="420" w:firstLineChars="150"/>
        <w:contextualSpacing/>
        <w:rPr>
          <w:rFonts w:ascii="仿宋" w:hAnsi="仿宋" w:eastAsia="仿宋"/>
          <w:sz w:val="28"/>
          <w:szCs w:val="28"/>
          <w:highlight w:val="none"/>
        </w:rPr>
      </w:pPr>
      <w:r>
        <w:rPr>
          <w:rFonts w:hint="eastAsia" w:ascii="仿宋" w:hAnsi="仿宋" w:eastAsia="仿宋"/>
          <w:sz w:val="28"/>
          <w:szCs w:val="28"/>
          <w:highlight w:val="none"/>
        </w:rPr>
        <w:t>（</w:t>
      </w:r>
      <w:r>
        <w:rPr>
          <w:rStyle w:val="20"/>
          <w:rFonts w:hint="eastAsia" w:hAnsi="楷体_GB2312" w:eastAsia="楷体_GB2312"/>
          <w:sz w:val="28"/>
          <w:szCs w:val="28"/>
          <w:highlight w:val="none"/>
        </w:rPr>
        <w:t>二）基本原则</w:t>
      </w:r>
      <w:r>
        <w:rPr>
          <w:rFonts w:hint="eastAsia" w:ascii="仿宋" w:hAnsi="仿宋" w:eastAsia="仿宋"/>
          <w:sz w:val="28"/>
          <w:szCs w:val="28"/>
          <w:highlight w:val="none"/>
        </w:rPr>
        <w:t xml:space="preserve">  …………………………………………………… 1</w:t>
      </w:r>
      <w:r>
        <w:rPr>
          <w:rFonts w:hint="eastAsia" w:ascii="仿宋" w:hAnsi="仿宋" w:eastAsia="仿宋"/>
          <w:sz w:val="28"/>
          <w:szCs w:val="28"/>
          <w:highlight w:val="none"/>
          <w:lang w:val="en-US" w:eastAsia="zh-CN"/>
        </w:rPr>
        <w:t>0</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 xml:space="preserve">（三）发展目标  </w:t>
      </w:r>
      <w:r>
        <w:rPr>
          <w:rFonts w:hint="eastAsia" w:ascii="仿宋" w:hAnsi="仿宋" w:eastAsia="仿宋"/>
          <w:sz w:val="28"/>
          <w:szCs w:val="28"/>
          <w:highlight w:val="none"/>
        </w:rPr>
        <w:t xml:space="preserve">…………………………………………………… </w:t>
      </w:r>
      <w:r>
        <w:rPr>
          <w:rFonts w:ascii="仿宋" w:hAnsi="仿宋" w:eastAsia="仿宋"/>
          <w:sz w:val="28"/>
          <w:szCs w:val="28"/>
          <w:highlight w:val="none"/>
        </w:rPr>
        <w:t>1</w:t>
      </w:r>
      <w:r>
        <w:rPr>
          <w:rFonts w:hint="eastAsia" w:ascii="仿宋" w:hAnsi="仿宋" w:eastAsia="仿宋"/>
          <w:sz w:val="28"/>
          <w:szCs w:val="28"/>
          <w:highlight w:val="none"/>
          <w:lang w:val="en-US" w:eastAsia="zh-CN"/>
        </w:rPr>
        <w:t>1</w:t>
      </w:r>
    </w:p>
    <w:p>
      <w:pPr>
        <w:spacing w:line="560" w:lineRule="exact"/>
        <w:contextualSpacing/>
        <w:rPr>
          <w:rFonts w:ascii="仿宋" w:hAnsi="仿宋" w:eastAsia="仿宋"/>
          <w:sz w:val="28"/>
          <w:szCs w:val="28"/>
          <w:highlight w:val="none"/>
        </w:rPr>
      </w:pPr>
      <w:r>
        <w:rPr>
          <w:rStyle w:val="20"/>
          <w:rFonts w:hint="eastAsia" w:eastAsia="黑体"/>
          <w:sz w:val="28"/>
          <w:szCs w:val="28"/>
          <w:highlight w:val="none"/>
        </w:rPr>
        <w:t>三．主要任务</w:t>
      </w:r>
      <w:r>
        <w:rPr>
          <w:rFonts w:hint="eastAsia" w:ascii="仿宋" w:hAnsi="仿宋" w:eastAsia="仿宋"/>
          <w:sz w:val="28"/>
          <w:szCs w:val="28"/>
          <w:highlight w:val="none"/>
        </w:rPr>
        <w:t xml:space="preserve"> …………………………………………………………… </w:t>
      </w:r>
      <w:r>
        <w:rPr>
          <w:rFonts w:ascii="仿宋" w:hAnsi="仿宋" w:eastAsia="仿宋"/>
          <w:sz w:val="28"/>
          <w:szCs w:val="28"/>
          <w:highlight w:val="none"/>
        </w:rPr>
        <w:t>1</w:t>
      </w:r>
      <w:r>
        <w:rPr>
          <w:rFonts w:hint="eastAsia" w:ascii="仿宋" w:hAnsi="仿宋" w:eastAsia="仿宋"/>
          <w:sz w:val="28"/>
          <w:szCs w:val="28"/>
          <w:highlight w:val="none"/>
          <w:lang w:val="en-US" w:eastAsia="zh-CN"/>
        </w:rPr>
        <w:t>5</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（一）</w:t>
      </w:r>
      <w:r>
        <w:rPr>
          <w:rStyle w:val="20"/>
          <w:rFonts w:hint="eastAsia" w:hAnsi="楷体_GB2312" w:eastAsia="楷体_GB2312"/>
          <w:sz w:val="28"/>
          <w:szCs w:val="28"/>
          <w:highlight w:val="none"/>
          <w:lang w:eastAsia="zh-CN"/>
        </w:rPr>
        <w:t>高水平打造精准保障</w:t>
      </w:r>
      <w:r>
        <w:rPr>
          <w:rFonts w:hint="eastAsia" w:ascii="仿宋" w:hAnsi="仿宋" w:eastAsia="仿宋"/>
          <w:sz w:val="28"/>
          <w:szCs w:val="28"/>
          <w:highlight w:val="none"/>
          <w:lang w:eastAsia="zh-CN"/>
        </w:rPr>
        <w:t>标杆区</w:t>
      </w:r>
      <w:r>
        <w:rPr>
          <w:rFonts w:hint="eastAsia" w:ascii="仿宋" w:hAnsi="仿宋" w:eastAsia="仿宋"/>
          <w:sz w:val="28"/>
          <w:szCs w:val="28"/>
          <w:highlight w:val="none"/>
        </w:rPr>
        <w:t xml:space="preserve">………………………………… </w:t>
      </w:r>
      <w:r>
        <w:rPr>
          <w:rFonts w:ascii="仿宋" w:hAnsi="仿宋" w:eastAsia="仿宋"/>
          <w:sz w:val="28"/>
          <w:szCs w:val="28"/>
          <w:highlight w:val="none"/>
        </w:rPr>
        <w:t>1</w:t>
      </w:r>
      <w:r>
        <w:rPr>
          <w:rFonts w:hint="eastAsia" w:ascii="仿宋" w:hAnsi="仿宋" w:eastAsia="仿宋"/>
          <w:sz w:val="28"/>
          <w:szCs w:val="28"/>
          <w:highlight w:val="none"/>
          <w:lang w:val="en-US" w:eastAsia="zh-CN"/>
        </w:rPr>
        <w:t>5</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（二）高水平打造幸福颐养标杆区</w:t>
      </w:r>
      <w:r>
        <w:rPr>
          <w:rFonts w:hint="eastAsia" w:ascii="仿宋" w:hAnsi="仿宋" w:eastAsia="仿宋"/>
          <w:sz w:val="28"/>
          <w:szCs w:val="28"/>
          <w:highlight w:val="none"/>
        </w:rPr>
        <w:t xml:space="preserve">………………………………… </w:t>
      </w:r>
      <w:r>
        <w:rPr>
          <w:rFonts w:ascii="仿宋" w:hAnsi="仿宋" w:eastAsia="仿宋"/>
          <w:sz w:val="28"/>
          <w:szCs w:val="28"/>
          <w:highlight w:val="none"/>
        </w:rPr>
        <w:t>1</w:t>
      </w:r>
      <w:r>
        <w:rPr>
          <w:rFonts w:hint="eastAsia" w:ascii="仿宋" w:hAnsi="仿宋" w:eastAsia="仿宋"/>
          <w:sz w:val="28"/>
          <w:szCs w:val="28"/>
          <w:highlight w:val="none"/>
          <w:lang w:val="en-US" w:eastAsia="zh-CN"/>
        </w:rPr>
        <w:t>8</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（三）高水平打造人人慈善标杆区</w:t>
      </w:r>
      <w:r>
        <w:rPr>
          <w:rFonts w:hint="eastAsia" w:ascii="仿宋" w:hAnsi="仿宋" w:eastAsia="仿宋"/>
          <w:sz w:val="28"/>
          <w:szCs w:val="28"/>
          <w:highlight w:val="none"/>
        </w:rPr>
        <w:t>…………………………………</w:t>
      </w:r>
      <w:r>
        <w:rPr>
          <w:rFonts w:ascii="仿宋" w:hAnsi="仿宋" w:eastAsia="仿宋"/>
          <w:sz w:val="28"/>
          <w:szCs w:val="28"/>
          <w:highlight w:val="none"/>
        </w:rPr>
        <w:t xml:space="preserve"> </w:t>
      </w:r>
      <w:r>
        <w:rPr>
          <w:rFonts w:hint="eastAsia" w:ascii="仿宋" w:hAnsi="仿宋" w:eastAsia="仿宋"/>
          <w:sz w:val="28"/>
          <w:szCs w:val="28"/>
          <w:highlight w:val="none"/>
          <w:lang w:val="en-US" w:eastAsia="zh-CN"/>
        </w:rPr>
        <w:t>20</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（四）高水平打造和谐自治标杆区</w:t>
      </w:r>
      <w:r>
        <w:rPr>
          <w:rFonts w:hint="eastAsia" w:ascii="仿宋" w:hAnsi="仿宋" w:eastAsia="仿宋"/>
          <w:sz w:val="28"/>
          <w:szCs w:val="28"/>
          <w:highlight w:val="none"/>
        </w:rPr>
        <w:t>………………………………… 2</w:t>
      </w:r>
      <w:r>
        <w:rPr>
          <w:rFonts w:hint="eastAsia" w:ascii="仿宋" w:hAnsi="仿宋" w:eastAsia="仿宋"/>
          <w:sz w:val="28"/>
          <w:szCs w:val="28"/>
          <w:highlight w:val="none"/>
          <w:lang w:val="en-US" w:eastAsia="zh-CN"/>
        </w:rPr>
        <w:t>2</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（五）高水平打造暖心服务标杆区</w:t>
      </w:r>
      <w:r>
        <w:rPr>
          <w:rFonts w:hint="eastAsia" w:ascii="仿宋" w:hAnsi="仿宋" w:eastAsia="仿宋"/>
          <w:sz w:val="28"/>
          <w:szCs w:val="28"/>
          <w:highlight w:val="none"/>
        </w:rPr>
        <w:t xml:space="preserve">………………………………… </w:t>
      </w:r>
      <w:r>
        <w:rPr>
          <w:rFonts w:ascii="仿宋" w:hAnsi="仿宋" w:eastAsia="仿宋"/>
          <w:sz w:val="28"/>
          <w:szCs w:val="28"/>
          <w:highlight w:val="none"/>
        </w:rPr>
        <w:t>2</w:t>
      </w:r>
      <w:r>
        <w:rPr>
          <w:rFonts w:hint="eastAsia" w:ascii="仿宋" w:hAnsi="仿宋" w:eastAsia="仿宋"/>
          <w:sz w:val="28"/>
          <w:szCs w:val="28"/>
          <w:highlight w:val="none"/>
          <w:lang w:val="en-US" w:eastAsia="zh-CN"/>
        </w:rPr>
        <w:t>4</w:t>
      </w:r>
    </w:p>
    <w:p>
      <w:pPr>
        <w:spacing w:line="560" w:lineRule="exact"/>
        <w:contextualSpacing/>
        <w:rPr>
          <w:rFonts w:ascii="仿宋" w:hAnsi="仿宋" w:eastAsia="仿宋"/>
          <w:sz w:val="28"/>
          <w:szCs w:val="28"/>
          <w:highlight w:val="none"/>
        </w:rPr>
      </w:pPr>
      <w:r>
        <w:rPr>
          <w:rStyle w:val="20"/>
          <w:rFonts w:hint="eastAsia" w:eastAsia="黑体"/>
          <w:sz w:val="28"/>
          <w:szCs w:val="28"/>
          <w:highlight w:val="none"/>
        </w:rPr>
        <w:t>四．保障措施</w:t>
      </w:r>
      <w:r>
        <w:rPr>
          <w:rFonts w:hint="eastAsia" w:ascii="仿宋" w:hAnsi="仿宋" w:eastAsia="仿宋"/>
          <w:sz w:val="28"/>
          <w:szCs w:val="28"/>
          <w:highlight w:val="none"/>
        </w:rPr>
        <w:t xml:space="preserve"> </w:t>
      </w:r>
      <w:r>
        <w:rPr>
          <w:rFonts w:ascii="仿宋" w:hAnsi="仿宋" w:eastAsia="仿宋"/>
          <w:sz w:val="28"/>
          <w:szCs w:val="28"/>
          <w:highlight w:val="none"/>
        </w:rPr>
        <w:t xml:space="preserve"> </w:t>
      </w:r>
      <w:r>
        <w:rPr>
          <w:rFonts w:hint="eastAsia" w:ascii="仿宋" w:hAnsi="仿宋" w:eastAsia="仿宋"/>
          <w:sz w:val="28"/>
          <w:szCs w:val="28"/>
          <w:highlight w:val="none"/>
        </w:rPr>
        <w:t xml:space="preserve">…………………………………………………………  </w:t>
      </w:r>
      <w:r>
        <w:rPr>
          <w:rFonts w:ascii="仿宋" w:hAnsi="仿宋" w:eastAsia="仿宋"/>
          <w:sz w:val="28"/>
          <w:szCs w:val="28"/>
          <w:highlight w:val="none"/>
        </w:rPr>
        <w:t>2</w:t>
      </w:r>
      <w:r>
        <w:rPr>
          <w:rFonts w:hint="eastAsia" w:ascii="仿宋" w:hAnsi="仿宋" w:eastAsia="仿宋"/>
          <w:sz w:val="28"/>
          <w:szCs w:val="28"/>
          <w:highlight w:val="none"/>
          <w:lang w:val="en-US" w:eastAsia="zh-CN"/>
        </w:rPr>
        <w:t>7</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（一）加强组织领导</w:t>
      </w:r>
      <w:r>
        <w:rPr>
          <w:rFonts w:hint="eastAsia" w:ascii="仿宋" w:hAnsi="仿宋" w:eastAsia="仿宋"/>
          <w:sz w:val="28"/>
          <w:szCs w:val="28"/>
          <w:highlight w:val="none"/>
        </w:rPr>
        <w:t xml:space="preserve"> ………………………………………………  </w:t>
      </w:r>
      <w:r>
        <w:rPr>
          <w:rFonts w:ascii="仿宋" w:hAnsi="仿宋" w:eastAsia="仿宋"/>
          <w:sz w:val="28"/>
          <w:szCs w:val="28"/>
          <w:highlight w:val="none"/>
        </w:rPr>
        <w:t>2</w:t>
      </w:r>
      <w:r>
        <w:rPr>
          <w:rFonts w:hint="eastAsia" w:ascii="仿宋" w:hAnsi="仿宋" w:eastAsia="仿宋"/>
          <w:sz w:val="28"/>
          <w:szCs w:val="28"/>
          <w:highlight w:val="none"/>
          <w:lang w:val="en-US" w:eastAsia="zh-CN"/>
        </w:rPr>
        <w:t>7</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（二）健全执行机制</w:t>
      </w:r>
      <w:r>
        <w:rPr>
          <w:rFonts w:hint="eastAsia" w:ascii="仿宋" w:hAnsi="仿宋" w:eastAsia="仿宋"/>
          <w:sz w:val="28"/>
          <w:szCs w:val="28"/>
          <w:highlight w:val="none"/>
        </w:rPr>
        <w:t xml:space="preserve"> ………………………………………………  </w:t>
      </w:r>
      <w:r>
        <w:rPr>
          <w:rFonts w:ascii="仿宋" w:hAnsi="仿宋" w:eastAsia="仿宋"/>
          <w:sz w:val="28"/>
          <w:szCs w:val="28"/>
          <w:highlight w:val="none"/>
        </w:rPr>
        <w:t>2</w:t>
      </w:r>
      <w:r>
        <w:rPr>
          <w:rFonts w:hint="eastAsia" w:ascii="仿宋" w:hAnsi="仿宋" w:eastAsia="仿宋"/>
          <w:sz w:val="28"/>
          <w:szCs w:val="28"/>
          <w:highlight w:val="none"/>
          <w:lang w:val="en-US" w:eastAsia="zh-CN"/>
        </w:rPr>
        <w:t>7</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（三）加大资源投入</w:t>
      </w:r>
      <w:r>
        <w:rPr>
          <w:rFonts w:hint="eastAsia" w:ascii="仿宋" w:hAnsi="仿宋" w:eastAsia="仿宋"/>
          <w:sz w:val="28"/>
          <w:szCs w:val="28"/>
          <w:highlight w:val="none"/>
        </w:rPr>
        <w:t xml:space="preserve"> ………………………………………………  </w:t>
      </w:r>
      <w:r>
        <w:rPr>
          <w:rFonts w:ascii="仿宋" w:hAnsi="仿宋" w:eastAsia="仿宋"/>
          <w:sz w:val="28"/>
          <w:szCs w:val="28"/>
          <w:highlight w:val="none"/>
        </w:rPr>
        <w:t>2</w:t>
      </w:r>
      <w:r>
        <w:rPr>
          <w:rFonts w:hint="eastAsia" w:ascii="仿宋" w:hAnsi="仿宋" w:eastAsia="仿宋"/>
          <w:sz w:val="28"/>
          <w:szCs w:val="28"/>
          <w:highlight w:val="none"/>
          <w:lang w:val="en-US" w:eastAsia="zh-CN"/>
        </w:rPr>
        <w:t>7</w:t>
      </w:r>
    </w:p>
    <w:p>
      <w:pPr>
        <w:spacing w:line="560" w:lineRule="exact"/>
        <w:ind w:firstLine="420" w:firstLineChars="150"/>
        <w:contextualSpacing/>
        <w:rPr>
          <w:rFonts w:ascii="仿宋" w:hAnsi="仿宋" w:eastAsia="仿宋"/>
          <w:sz w:val="28"/>
          <w:szCs w:val="28"/>
          <w:highlight w:val="none"/>
        </w:rPr>
      </w:pPr>
      <w:r>
        <w:rPr>
          <w:rStyle w:val="20"/>
          <w:rFonts w:hint="eastAsia" w:hAnsi="楷体_GB2312" w:eastAsia="楷体_GB2312"/>
          <w:sz w:val="28"/>
          <w:szCs w:val="28"/>
          <w:highlight w:val="none"/>
        </w:rPr>
        <w:t>（四）强化监测评估</w:t>
      </w:r>
      <w:r>
        <w:rPr>
          <w:rFonts w:hint="eastAsia" w:ascii="仿宋" w:hAnsi="仿宋" w:eastAsia="仿宋"/>
          <w:sz w:val="28"/>
          <w:szCs w:val="28"/>
          <w:highlight w:val="none"/>
        </w:rPr>
        <w:t xml:space="preserve"> ………………………………………………  </w:t>
      </w:r>
      <w:r>
        <w:rPr>
          <w:rFonts w:ascii="仿宋" w:hAnsi="仿宋" w:eastAsia="仿宋"/>
          <w:sz w:val="28"/>
          <w:szCs w:val="28"/>
          <w:highlight w:val="none"/>
        </w:rPr>
        <w:t>2</w:t>
      </w:r>
      <w:r>
        <w:rPr>
          <w:rFonts w:hint="eastAsia" w:ascii="仿宋" w:hAnsi="仿宋" w:eastAsia="仿宋"/>
          <w:sz w:val="28"/>
          <w:szCs w:val="28"/>
          <w:highlight w:val="none"/>
          <w:lang w:val="en-US" w:eastAsia="zh-CN"/>
        </w:rPr>
        <w:t>8</w:t>
      </w:r>
    </w:p>
    <w:p>
      <w:pPr>
        <w:spacing w:line="560" w:lineRule="exact"/>
        <w:ind w:firstLine="420" w:firstLineChars="150"/>
        <w:contextualSpacing/>
        <w:rPr>
          <w:rFonts w:ascii="仿宋" w:hAnsi="仿宋" w:eastAsia="仿宋"/>
          <w:sz w:val="28"/>
          <w:szCs w:val="28"/>
          <w:highlight w:val="none"/>
        </w:rPr>
        <w:sectPr>
          <w:footerReference r:id="rId5" w:type="default"/>
          <w:pgSz w:w="11906" w:h="16838"/>
          <w:pgMar w:top="2098" w:right="1474" w:bottom="1984" w:left="1587" w:header="851" w:footer="992" w:gutter="0"/>
          <w:pgNumType w:fmt="numberInDash"/>
          <w:cols w:space="720" w:num="1"/>
          <w:docGrid w:type="lines" w:linePitch="318" w:charSpace="0"/>
        </w:sectPr>
      </w:pPr>
      <w:r>
        <w:rPr>
          <w:rFonts w:hint="eastAsia" w:ascii="仿宋" w:hAnsi="仿宋" w:eastAsia="仿宋"/>
          <w:sz w:val="28"/>
          <w:szCs w:val="28"/>
          <w:highlight w:val="none"/>
        </w:rPr>
        <w:t>（</w:t>
      </w:r>
      <w:r>
        <w:rPr>
          <w:rStyle w:val="20"/>
          <w:rFonts w:hint="eastAsia" w:hAnsi="楷体_GB2312" w:eastAsia="楷体_GB2312"/>
          <w:sz w:val="28"/>
          <w:szCs w:val="28"/>
          <w:highlight w:val="none"/>
        </w:rPr>
        <w:t>五）加强队伍建设</w:t>
      </w:r>
      <w:r>
        <w:rPr>
          <w:rFonts w:hint="eastAsia" w:ascii="仿宋" w:hAnsi="仿宋" w:eastAsia="仿宋"/>
          <w:sz w:val="28"/>
          <w:szCs w:val="28"/>
          <w:highlight w:val="none"/>
        </w:rPr>
        <w:t xml:space="preserve"> ………………………………………………  </w:t>
      </w:r>
      <w:r>
        <w:rPr>
          <w:rFonts w:ascii="仿宋" w:hAnsi="仿宋" w:eastAsia="仿宋"/>
          <w:sz w:val="28"/>
          <w:szCs w:val="28"/>
          <w:highlight w:val="none"/>
        </w:rPr>
        <w:t>2</w:t>
      </w:r>
      <w:r>
        <w:rPr>
          <w:rFonts w:hint="eastAsia" w:ascii="仿宋" w:hAnsi="仿宋" w:eastAsia="仿宋"/>
          <w:sz w:val="28"/>
          <w:szCs w:val="28"/>
          <w:highlight w:val="none"/>
          <w:lang w:val="en-US" w:eastAsia="zh-CN"/>
        </w:rPr>
        <w:t>8</w:t>
      </w:r>
    </w:p>
    <w:p>
      <w:pPr>
        <w:spacing w:line="600" w:lineRule="exact"/>
        <w:ind w:firstLine="640" w:firstLineChars="200"/>
        <w:rPr>
          <w:rFonts w:ascii="仿宋_GB2312" w:hAnsi="仿宋_GB2312" w:eastAsia="仿宋_GB2312" w:cs="仿宋_GB2312"/>
          <w:b/>
          <w:sz w:val="32"/>
          <w:szCs w:val="32"/>
          <w:highlight w:val="none"/>
        </w:rPr>
      </w:pPr>
      <w:r>
        <w:rPr>
          <w:rFonts w:hint="eastAsia" w:ascii="仿宋_GB2312" w:hAnsi="仿宋_GB2312" w:eastAsia="仿宋_GB2312" w:cs="仿宋_GB2312"/>
          <w:sz w:val="32"/>
          <w:szCs w:val="32"/>
          <w:highlight w:val="none"/>
        </w:rPr>
        <w:t>本规划依据《杭州市民政事业发展“十四五”规划》、《余杭区国民经济和社会发展第十四个五年规划和二〇三五年远景目标纲要》制定，为区级重点专项规划。</w:t>
      </w:r>
    </w:p>
    <w:p>
      <w:pPr>
        <w:pStyle w:val="2"/>
        <w:spacing w:line="600" w:lineRule="exact"/>
        <w:ind w:firstLine="640" w:firstLineChars="200"/>
        <w:rPr>
          <w:rFonts w:ascii="黑体" w:eastAsia="黑体"/>
          <w:b w:val="0"/>
          <w:sz w:val="32"/>
          <w:szCs w:val="32"/>
          <w:highlight w:val="none"/>
        </w:rPr>
      </w:pPr>
      <w:r>
        <w:rPr>
          <w:rFonts w:hint="eastAsia" w:ascii="黑体" w:eastAsia="黑体"/>
          <w:b w:val="0"/>
          <w:sz w:val="32"/>
          <w:szCs w:val="32"/>
          <w:highlight w:val="none"/>
        </w:rPr>
        <w:t>一．规划背景</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（一）发展现状</w:t>
      </w:r>
    </w:p>
    <w:p>
      <w:pPr>
        <w:spacing w:line="560" w:lineRule="atLeast"/>
        <w:ind w:firstLine="640" w:firstLineChars="200"/>
        <w:rPr>
          <w:rFonts w:ascii="仿宋_GB2312" w:eastAsia="仿宋_GB2312"/>
          <w:sz w:val="32"/>
          <w:szCs w:val="32"/>
          <w:highlight w:val="none"/>
        </w:rPr>
      </w:pPr>
      <w:r>
        <w:rPr>
          <w:rFonts w:hint="eastAsia" w:ascii="仿宋_GB2312" w:eastAsia="仿宋_GB2312"/>
          <w:sz w:val="32"/>
          <w:szCs w:val="32"/>
          <w:highlight w:val="none"/>
        </w:rPr>
        <w:t>“十三五”期间，我区民政系统按照区委区政府决策部署，围绕全区经济社会发展大局和民生服务需求，切实贯彻“民政为民、民政爱民”工作理念，全方位推进基本民生保障、城乡居民福利、养老助老服务、基层社会治理、公共事务管理等各领域科学发展，继续保持余杭民政事业在全市乃至全省的领先地位，为打造“创业创新梦想地、宜居宜游美丽洲”高品质大都市新区做出了重要贡献，同时也为十四五期间民政事业发展奠定了良好基础。</w:t>
      </w:r>
    </w:p>
    <w:p>
      <w:pPr>
        <w:ind w:firstLine="803" w:firstLineChars="250"/>
        <w:rPr>
          <w:rFonts w:hint="eastAsia" w:ascii="仿宋_GB2312" w:hAnsi="仿宋_GB2312" w:eastAsia="仿宋_GB2312" w:cs="仿宋_GB2312"/>
          <w:sz w:val="32"/>
          <w:szCs w:val="32"/>
          <w:highlight w:val="none"/>
        </w:rPr>
        <w:sectPr>
          <w:footerReference r:id="rId6" w:type="default"/>
          <w:pgSz w:w="11906" w:h="16838"/>
          <w:pgMar w:top="1440" w:right="1800" w:bottom="1440" w:left="1800" w:header="851" w:footer="992" w:gutter="0"/>
          <w:pgNumType w:fmt="numberInDash" w:start="1"/>
          <w:cols w:space="720" w:num="1"/>
          <w:docGrid w:type="lines" w:linePitch="312" w:charSpace="0"/>
        </w:sectPr>
      </w:pPr>
      <w:bookmarkStart w:id="0" w:name="_Hlk52917225"/>
      <w:r>
        <w:rPr>
          <w:rFonts w:hint="eastAsia" w:ascii="仿宋_GB2312" w:hAnsi="仿宋_GB2312" w:eastAsia="仿宋_GB2312" w:cs="仿宋_GB2312"/>
          <w:b/>
          <w:bCs/>
          <w:sz w:val="32"/>
          <w:szCs w:val="32"/>
          <w:highlight w:val="none"/>
        </w:rPr>
        <w:t xml:space="preserve">社会救助体系日趋完善 </w:t>
      </w:r>
      <w:r>
        <w:rPr>
          <w:rFonts w:hint="eastAsia" w:ascii="仿宋_GB2312" w:hAnsi="仿宋_GB2312" w:eastAsia="仿宋_GB2312" w:cs="仿宋_GB2312"/>
          <w:sz w:val="32"/>
          <w:szCs w:val="32"/>
          <w:highlight w:val="none"/>
        </w:rPr>
        <w:t>“兜底+共享”的社会救助体系日趋完善。实行“应保尽保、应补尽补、应退尽退”动态管理，落实低保低边家庭渐退机制，困难家庭重病患者单列户施保，2020年底全区城乡共有低保家庭6810户9004人，低边家庭578户1997人，城镇和农村居民最低生活保障标准从2016年的744元提高到2020年的1102元。出台《杭州市临时救助办法余杭区实施细则》、《关于确保“三个不让”加强救助帮扶工作的实施意见》等，建立困难家庭“一</w:t>
      </w:r>
    </w:p>
    <w:p>
      <w:pPr>
        <w:ind w:firstLine="800" w:firstLineChars="25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户一册”探访档案，开展暖心服务和精准救助，累计发放特困保障金、低保金、低边定期补助、“送温暖”慰问金、水电气补贴、物价补贴、临时救助金等各类社会救助资金8.55亿元。儿童保护救助持续推进，政策惠及孤儿及其他困境儿童62863人次，累计发放生活补贴3494.28万元。福利机构孤儿和社会散居孤儿生活费月标准分别提高到2571元和2057元，累计救助孤儿135人，其中机构内孤儿54人、散居孤儿81人。</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养老服务体系有效建构 </w:t>
      </w:r>
      <w:r>
        <w:rPr>
          <w:rFonts w:hint="eastAsia" w:ascii="仿宋_GB2312" w:hAnsi="仿宋_GB2312" w:eastAsia="仿宋_GB2312" w:cs="仿宋_GB2312"/>
          <w:sz w:val="32"/>
          <w:szCs w:val="32"/>
          <w:highlight w:val="none"/>
        </w:rPr>
        <w:t>覆盖城乡的养老助老服务体系基本成型，供需矛盾有效缓解。全区已建有居家养老服务（照料）中心217家（含服务中心23家、照料中心194家），其中示范型照料中心132家、标准型照料中心26家；集中配（送）餐中心21家，老年食堂86家，助餐服务点205处；养老机构18家（含公办6家、民办7家、公建民营5家），机构床位3200张。 2020年度，完成困难老年人家庭适老化改造257户，政府购买服务对象22265人次，占老年人口9.1%，购买服务资金3990万元，享受老年人生活补贴18万余人次，发放资金1.33亿元。</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慈善公益事业不断发展 </w:t>
      </w:r>
      <w:r>
        <w:rPr>
          <w:rFonts w:hint="eastAsia" w:ascii="仿宋_GB2312" w:hAnsi="仿宋_GB2312" w:eastAsia="仿宋_GB2312" w:cs="仿宋_GB2312"/>
          <w:sz w:val="32"/>
          <w:szCs w:val="32"/>
          <w:highlight w:val="none"/>
        </w:rPr>
        <w:t>现有慈善公益组织22个，注册志愿者379964人，“人人做慈善、人人做公益”的社会氛围正在形成。区慈善总会扶持50余户低保家庭实现脱贫，补助120余户低保家庭实现危房改造，为100余户低保低边家庭学龄儿童打造“理想小屋”，资助86家社会组织实施“暖心工程”。成立“大爱余杭”基金，为困难家庭再添新保障，社区公益基金会、慈善超市、互联网公益等线下线上联动发展。举办“益余杭全域美丽”公益展览、公益创投和公益创新创业竞赛，2017年获得第五届“浙江慈善奖”。“十三五”期间，累计有23万余人次、5160多家次企事业单位，参与“送温暖·献爱心”捐赠活动，区慈善总会共募集资金32595.65万元，帮扶救助困难群体12.24万人次，发放资金19459.76万元。</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基层社会治理持续优化 </w:t>
      </w:r>
      <w:r>
        <w:rPr>
          <w:rFonts w:hint="eastAsia" w:ascii="仿宋_GB2312" w:hAnsi="仿宋_GB2312" w:eastAsia="仿宋_GB2312" w:cs="仿宋_GB2312"/>
          <w:sz w:val="32"/>
          <w:szCs w:val="32"/>
          <w:highlight w:val="none"/>
        </w:rPr>
        <w:t>围绕“完善基层协商、增强社区功能”，持续优化基层社会治理。发源于小古城村的“众人的事情由众人商量”被写入党的十九大报告，“余杭区基层治理综合信息系统建设”入选2019全国政法智能化建设优秀创新案例；创立“余杭‘1+3’基层协商治理模式”及“余杭协商五步法”，应用涵盖乡村振兴、乡风文明、社区微治理、社区减负、矛盾纠纷化解、小区物业管理等领域。城乡社区服务设施布局和功能设置逐步完善，基层群众满意度不断提高。首批“省级城乡社区治理和服务创新实验区”建设通过省民政厅验收，并荣获2018年民政部“全国农村社区建设示范单位”称号。现有注册登记社会组织1338家，备案社会组织5148家，万人拥有社会组织34.3个；辐射镇街的“市民客厅”6家，服务社区的“居民驿站”28家，镇街级社会工作站5家，村社级社会工作室10家；持证社区工作者1246人，比例达60.5%，位列全市第一。</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专项社会服务便民高效</w:t>
      </w:r>
      <w:bookmarkEnd w:id="0"/>
      <w:r>
        <w:rPr>
          <w:rFonts w:hint="eastAsia" w:ascii="仿宋_GB2312" w:hAnsi="仿宋_GB2312" w:eastAsia="仿宋_GB2312" w:cs="仿宋_GB2312"/>
          <w:b/>
          <w:bCs/>
          <w:sz w:val="32"/>
          <w:szCs w:val="32"/>
          <w:highlight w:val="none"/>
        </w:rPr>
        <w:t xml:space="preserve"> </w:t>
      </w:r>
      <w:r>
        <w:rPr>
          <w:rFonts w:hint="eastAsia" w:ascii="仿宋_GB2312" w:hAnsi="仿宋_GB2312" w:eastAsia="仿宋_GB2312" w:cs="仿宋_GB2312"/>
          <w:sz w:val="32"/>
          <w:szCs w:val="32"/>
          <w:highlight w:val="none"/>
        </w:rPr>
        <w:t>以节地生态安葬与文明殡仪服务为主要内容的殡葬改革成效显著，受到人民日报、新华社等国内主要媒体关注和报道。“十三五”期间，整治搬迁坟墓3752座，节地生态安葬比例达到100%，其中室内骨灰格位安葬24%，生态墓地安葬76%。婚姻登记、地名管理、收养登记、流浪乞讨人员救助等工作规范有序，除法律法规有程序规定外，大部分公共服务事项实现网上办理。“十三五”期间，水库移民直补资金1119.87万元，实施后期扶持项目71项，补助资金2474.4万元。</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eastAsia="zh-CN"/>
        </w:rPr>
        <w:t>回顾“十三五”期间</w:t>
      </w:r>
      <w:r>
        <w:rPr>
          <w:rFonts w:hint="eastAsia" w:ascii="仿宋_GB2312" w:hAnsi="仿宋_GB2312" w:eastAsia="仿宋_GB2312" w:cs="仿宋_GB2312"/>
          <w:sz w:val="32"/>
          <w:szCs w:val="32"/>
          <w:highlight w:val="none"/>
        </w:rPr>
        <w:t>，我区民政事业在取得优异成绩的同时，也存在一些不足之处和有待解决的问题。早年建成的居民住宅区，普遍公共用房不足或预留空间局促，导致现阶段民政服务设施较难按标准配置落实到位；殡葬设施建设面临土地规划和“邻避效应”双重限制，选址困难，丧祭活动受传统习俗观念影响，移风易俗和规范管理阻力较大；养老服务层次和专业化水平还较低，不同类型、不同性质的养老资源也面临如何系统化整合的问题；从资源投入到服务供给，民政事业发展仍面临城乡不平衡的困局；“大民政”的体制机制保障尚未落实到位，条块分割、多头管理的现象仍然存在。诸如此类的问题，有历史延续下来的，也有新出现的，需要民政事业在发展实践中继续加以重视和解决。</w:t>
      </w:r>
    </w:p>
    <w:p>
      <w:pPr>
        <w:spacing w:line="480" w:lineRule="auto"/>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 xml:space="preserve">        表1:“十三五”时期民政事业发展情况表</w:t>
      </w:r>
    </w:p>
    <w:tbl>
      <w:tblPr>
        <w:tblStyle w:val="15"/>
        <w:tblW w:w="8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1"/>
        <w:gridCol w:w="3047"/>
        <w:gridCol w:w="1380"/>
        <w:gridCol w:w="1355"/>
        <w:gridCol w:w="1439"/>
        <w:gridCol w:w="7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651" w:type="dxa"/>
            <w:vMerge w:val="restart"/>
            <w:vAlign w:val="top"/>
          </w:tcPr>
          <w:p>
            <w:pPr>
              <w:spacing w:before="240"/>
              <w:rPr>
                <w:rFonts w:ascii="宋体" w:hAnsi="宋体" w:cs="宋体"/>
                <w:b/>
                <w:bCs/>
                <w:szCs w:val="21"/>
                <w:highlight w:val="none"/>
              </w:rPr>
            </w:pPr>
            <w:r>
              <w:rPr>
                <w:rFonts w:hint="eastAsia" w:ascii="宋体" w:hAnsi="宋体" w:cs="宋体"/>
                <w:b/>
                <w:bCs/>
                <w:szCs w:val="21"/>
                <w:highlight w:val="none"/>
              </w:rPr>
              <w:t>类别</w:t>
            </w:r>
          </w:p>
        </w:tc>
        <w:tc>
          <w:tcPr>
            <w:tcW w:w="3047" w:type="dxa"/>
            <w:vMerge w:val="restart"/>
            <w:vAlign w:val="top"/>
          </w:tcPr>
          <w:p>
            <w:pPr>
              <w:spacing w:before="240"/>
              <w:jc w:val="center"/>
              <w:rPr>
                <w:rFonts w:ascii="宋体" w:hAnsi="宋体" w:cs="宋体"/>
                <w:b/>
                <w:bCs/>
                <w:szCs w:val="21"/>
                <w:highlight w:val="none"/>
              </w:rPr>
            </w:pPr>
            <w:r>
              <w:rPr>
                <w:rFonts w:hint="eastAsia" w:ascii="宋体" w:hAnsi="宋体" w:cs="宋体"/>
                <w:b/>
                <w:bCs/>
                <w:szCs w:val="21"/>
                <w:highlight w:val="none"/>
              </w:rPr>
              <w:t>主要目标项目</w:t>
            </w:r>
          </w:p>
          <w:p>
            <w:pPr>
              <w:rPr>
                <w:rFonts w:ascii="宋体" w:hAnsi="宋体" w:cs="宋体"/>
                <w:b/>
                <w:bCs/>
                <w:szCs w:val="21"/>
                <w:highlight w:val="none"/>
              </w:rPr>
            </w:pPr>
          </w:p>
        </w:tc>
        <w:tc>
          <w:tcPr>
            <w:tcW w:w="2735" w:type="dxa"/>
            <w:gridSpan w:val="2"/>
            <w:vAlign w:val="top"/>
          </w:tcPr>
          <w:p>
            <w:pPr>
              <w:jc w:val="center"/>
              <w:rPr>
                <w:rFonts w:ascii="宋体" w:hAnsi="宋体" w:cs="宋体"/>
                <w:b/>
                <w:bCs/>
                <w:szCs w:val="21"/>
                <w:highlight w:val="none"/>
              </w:rPr>
            </w:pPr>
            <w:r>
              <w:rPr>
                <w:rFonts w:hint="eastAsia" w:ascii="宋体" w:hAnsi="宋体" w:cs="宋体"/>
                <w:b/>
                <w:bCs/>
                <w:szCs w:val="21"/>
                <w:highlight w:val="none"/>
              </w:rPr>
              <w:t>原余杭区</w:t>
            </w:r>
          </w:p>
        </w:tc>
        <w:tc>
          <w:tcPr>
            <w:tcW w:w="1439" w:type="dxa"/>
            <w:vAlign w:val="top"/>
          </w:tcPr>
          <w:p>
            <w:pPr>
              <w:jc w:val="center"/>
              <w:rPr>
                <w:rFonts w:ascii="宋体" w:hAnsi="宋体" w:cs="宋体"/>
                <w:b/>
                <w:bCs/>
                <w:szCs w:val="21"/>
                <w:highlight w:val="none"/>
              </w:rPr>
            </w:pPr>
            <w:r>
              <w:rPr>
                <w:rFonts w:hint="eastAsia" w:ascii="宋体" w:hAnsi="宋体" w:cs="宋体"/>
                <w:b/>
                <w:bCs/>
                <w:szCs w:val="21"/>
                <w:highlight w:val="none"/>
              </w:rPr>
              <w:t>现余杭区</w:t>
            </w:r>
          </w:p>
        </w:tc>
        <w:tc>
          <w:tcPr>
            <w:tcW w:w="767" w:type="dxa"/>
            <w:vMerge w:val="restart"/>
            <w:vAlign w:val="top"/>
          </w:tcPr>
          <w:p>
            <w:pPr>
              <w:spacing w:before="240"/>
              <w:jc w:val="center"/>
              <w:rPr>
                <w:rFonts w:ascii="宋体" w:hAnsi="宋体" w:cs="宋体"/>
                <w:b/>
                <w:bCs/>
                <w:szCs w:val="21"/>
                <w:highlight w:val="none"/>
              </w:rPr>
            </w:pPr>
            <w:r>
              <w:rPr>
                <w:rFonts w:hint="eastAsia" w:ascii="宋体" w:hAnsi="宋体" w:cs="宋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651" w:type="dxa"/>
            <w:vMerge w:val="continue"/>
            <w:vAlign w:val="top"/>
          </w:tcPr>
          <w:p>
            <w:pPr>
              <w:spacing w:before="240"/>
              <w:rPr>
                <w:rFonts w:ascii="宋体" w:hAnsi="宋体" w:cs="宋体"/>
                <w:b/>
                <w:bCs/>
                <w:szCs w:val="21"/>
                <w:highlight w:val="none"/>
              </w:rPr>
            </w:pPr>
          </w:p>
        </w:tc>
        <w:tc>
          <w:tcPr>
            <w:tcW w:w="3047" w:type="dxa"/>
            <w:vMerge w:val="continue"/>
            <w:vAlign w:val="top"/>
          </w:tcPr>
          <w:p>
            <w:pPr>
              <w:spacing w:before="240"/>
              <w:jc w:val="center"/>
              <w:rPr>
                <w:rFonts w:ascii="宋体" w:hAnsi="宋体" w:cs="宋体"/>
                <w:b/>
                <w:bCs/>
                <w:szCs w:val="21"/>
                <w:highlight w:val="none"/>
              </w:rPr>
            </w:pPr>
          </w:p>
        </w:tc>
        <w:tc>
          <w:tcPr>
            <w:tcW w:w="1380" w:type="dxa"/>
            <w:vAlign w:val="top"/>
          </w:tcPr>
          <w:p>
            <w:pPr>
              <w:jc w:val="center"/>
              <w:rPr>
                <w:rFonts w:ascii="宋体" w:hAnsi="宋体" w:cs="宋体"/>
                <w:b/>
                <w:bCs/>
                <w:szCs w:val="21"/>
                <w:highlight w:val="none"/>
              </w:rPr>
            </w:pPr>
            <w:r>
              <w:rPr>
                <w:rFonts w:hint="eastAsia" w:ascii="宋体" w:hAnsi="宋体" w:cs="宋体"/>
                <w:b/>
                <w:bCs/>
                <w:szCs w:val="21"/>
                <w:highlight w:val="none"/>
              </w:rPr>
              <w:t>2015年数据</w:t>
            </w:r>
          </w:p>
        </w:tc>
        <w:tc>
          <w:tcPr>
            <w:tcW w:w="1355" w:type="dxa"/>
            <w:vAlign w:val="top"/>
          </w:tcPr>
          <w:p>
            <w:pPr>
              <w:jc w:val="center"/>
              <w:rPr>
                <w:rFonts w:ascii="宋体" w:hAnsi="宋体" w:cs="宋体"/>
                <w:b/>
                <w:bCs/>
                <w:szCs w:val="21"/>
                <w:highlight w:val="none"/>
              </w:rPr>
            </w:pPr>
            <w:r>
              <w:rPr>
                <w:rFonts w:hint="eastAsia" w:ascii="宋体" w:hAnsi="宋体" w:cs="宋体"/>
                <w:b/>
                <w:bCs/>
                <w:szCs w:val="21"/>
                <w:highlight w:val="none"/>
              </w:rPr>
              <w:t>2020年数据</w:t>
            </w:r>
          </w:p>
        </w:tc>
        <w:tc>
          <w:tcPr>
            <w:tcW w:w="1439" w:type="dxa"/>
            <w:vAlign w:val="top"/>
          </w:tcPr>
          <w:p>
            <w:pPr>
              <w:jc w:val="center"/>
              <w:rPr>
                <w:rFonts w:ascii="宋体" w:hAnsi="宋体" w:cs="宋体"/>
                <w:b/>
                <w:bCs/>
                <w:szCs w:val="21"/>
                <w:highlight w:val="none"/>
              </w:rPr>
            </w:pPr>
            <w:r>
              <w:rPr>
                <w:rFonts w:hint="eastAsia" w:ascii="宋体" w:hAnsi="宋体" w:cs="宋体"/>
                <w:b/>
                <w:bCs/>
                <w:szCs w:val="21"/>
                <w:highlight w:val="none"/>
              </w:rPr>
              <w:t>2020年数据</w:t>
            </w:r>
          </w:p>
        </w:tc>
        <w:tc>
          <w:tcPr>
            <w:tcW w:w="767" w:type="dxa"/>
            <w:vMerge w:val="continue"/>
            <w:vAlign w:val="top"/>
          </w:tcPr>
          <w:p>
            <w:pPr>
              <w:rPr>
                <w:rFonts w:ascii="宋体" w:hAnsi="宋体" w:cs="宋体"/>
                <w:b/>
                <w:bCs/>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restart"/>
            <w:vAlign w:val="top"/>
          </w:tcPr>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jc w:val="center"/>
              <w:rPr>
                <w:rFonts w:ascii="宋体" w:hAnsi="宋体" w:cs="宋体"/>
                <w:szCs w:val="21"/>
                <w:highlight w:val="none"/>
              </w:rPr>
            </w:pPr>
            <w:r>
              <w:rPr>
                <w:rFonts w:hint="eastAsia" w:ascii="宋体" w:hAnsi="宋体" w:cs="宋体"/>
                <w:szCs w:val="21"/>
                <w:highlight w:val="none"/>
              </w:rPr>
              <w:t>民</w:t>
            </w:r>
          </w:p>
          <w:p>
            <w:pPr>
              <w:jc w:val="center"/>
              <w:rPr>
                <w:rFonts w:ascii="宋体" w:hAnsi="宋体" w:cs="宋体"/>
                <w:szCs w:val="21"/>
                <w:highlight w:val="none"/>
              </w:rPr>
            </w:pPr>
            <w:r>
              <w:rPr>
                <w:rFonts w:hint="eastAsia" w:ascii="宋体" w:hAnsi="宋体" w:cs="宋体"/>
                <w:szCs w:val="21"/>
                <w:highlight w:val="none"/>
              </w:rPr>
              <w:t>生</w:t>
            </w:r>
          </w:p>
          <w:p>
            <w:pPr>
              <w:jc w:val="center"/>
              <w:rPr>
                <w:rFonts w:ascii="宋体" w:hAnsi="宋体" w:cs="宋体"/>
                <w:szCs w:val="21"/>
                <w:highlight w:val="none"/>
              </w:rPr>
            </w:pPr>
            <w:r>
              <w:rPr>
                <w:rFonts w:hint="eastAsia" w:ascii="宋体" w:hAnsi="宋体" w:cs="宋体"/>
                <w:szCs w:val="21"/>
                <w:highlight w:val="none"/>
              </w:rPr>
              <w:t>保</w:t>
            </w:r>
          </w:p>
          <w:p>
            <w:pPr>
              <w:jc w:val="center"/>
              <w:rPr>
                <w:rFonts w:ascii="宋体" w:hAnsi="宋体" w:cs="宋体"/>
                <w:szCs w:val="21"/>
                <w:highlight w:val="none"/>
              </w:rPr>
            </w:pPr>
            <w:r>
              <w:rPr>
                <w:rFonts w:hint="eastAsia" w:ascii="宋体" w:hAnsi="宋体" w:cs="宋体"/>
                <w:szCs w:val="21"/>
                <w:highlight w:val="none"/>
              </w:rPr>
              <w:t>障</w:t>
            </w:r>
          </w:p>
          <w:p>
            <w:pPr>
              <w:jc w:val="cente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低保人数（人）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6698</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9004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6541</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低边人数（人）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1997</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1308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城镇低保人均月标准（元）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744</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1102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1102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农村低保人均月标准（元）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744</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1102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1102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特困供养对象人数（人）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267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160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113</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lang w:eastAsia="zh-CN"/>
              </w:rPr>
              <w:t>村社级</w:t>
            </w:r>
            <w:r>
              <w:rPr>
                <w:rFonts w:hint="eastAsia" w:ascii="宋体" w:hAnsi="宋体" w:cs="宋体"/>
                <w:szCs w:val="21"/>
                <w:highlight w:val="none"/>
              </w:rPr>
              <w:t>基础型儿童之家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43</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30</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lang w:eastAsia="zh-CN"/>
              </w:rPr>
              <w:t>镇街级</w:t>
            </w:r>
            <w:r>
              <w:rPr>
                <w:rFonts w:hint="eastAsia" w:ascii="宋体" w:hAnsi="宋体" w:cs="宋体"/>
                <w:szCs w:val="21"/>
                <w:highlight w:val="none"/>
              </w:rPr>
              <w:t>示范型儿童之家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在册困境儿童人数</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953</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1170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647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福利机构孤儿人数</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51</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社会散居孤儿人数</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13</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困境儿童生活补贴（万元）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339.22</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860.84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399.22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福利机构孤儿月补助（元）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1490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2571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2571</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社会散居孤儿月补助（元）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894</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2057</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2057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福利企业数量（家）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47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福利企业安置残疾人（人）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1645</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1154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634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残疾职工人均月工资（元）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2577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3424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3718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残疾职工人均月投保额</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889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1128</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1241</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救助站救助人次</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1185</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478</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当年发放各类救助金（亿元）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1.42</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1.71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1.24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restart"/>
            <w:vAlign w:val="top"/>
          </w:tcPr>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jc w:val="center"/>
              <w:rPr>
                <w:rFonts w:ascii="宋体" w:hAnsi="宋体" w:cs="宋体"/>
                <w:szCs w:val="21"/>
                <w:highlight w:val="none"/>
              </w:rPr>
            </w:pPr>
            <w:r>
              <w:rPr>
                <w:rFonts w:hint="eastAsia" w:ascii="宋体" w:hAnsi="宋体" w:cs="宋体"/>
                <w:szCs w:val="21"/>
                <w:highlight w:val="none"/>
              </w:rPr>
              <w:t>养</w:t>
            </w:r>
          </w:p>
          <w:p>
            <w:pPr>
              <w:jc w:val="center"/>
              <w:rPr>
                <w:rFonts w:ascii="宋体" w:hAnsi="宋体" w:cs="宋体"/>
                <w:szCs w:val="21"/>
                <w:highlight w:val="none"/>
              </w:rPr>
            </w:pPr>
            <w:r>
              <w:rPr>
                <w:rFonts w:hint="eastAsia" w:ascii="宋体" w:hAnsi="宋体" w:cs="宋体"/>
                <w:szCs w:val="21"/>
                <w:highlight w:val="none"/>
              </w:rPr>
              <w:t>老</w:t>
            </w:r>
          </w:p>
          <w:p>
            <w:pPr>
              <w:jc w:val="center"/>
              <w:rPr>
                <w:rFonts w:ascii="宋体" w:hAnsi="宋体" w:cs="宋体"/>
                <w:szCs w:val="21"/>
                <w:highlight w:val="none"/>
              </w:rPr>
            </w:pPr>
            <w:r>
              <w:rPr>
                <w:rFonts w:hint="eastAsia" w:ascii="宋体" w:hAnsi="宋体" w:cs="宋体"/>
                <w:szCs w:val="21"/>
                <w:highlight w:val="none"/>
              </w:rPr>
              <w:t>服</w:t>
            </w:r>
          </w:p>
          <w:p>
            <w:pPr>
              <w:jc w:val="center"/>
              <w:rPr>
                <w:rFonts w:ascii="宋体" w:hAnsi="宋体" w:cs="宋体"/>
                <w:szCs w:val="21"/>
                <w:highlight w:val="none"/>
              </w:rPr>
            </w:pPr>
            <w:r>
              <w:rPr>
                <w:rFonts w:hint="eastAsia" w:ascii="宋体" w:hAnsi="宋体" w:cs="宋体"/>
                <w:szCs w:val="21"/>
                <w:highlight w:val="none"/>
              </w:rPr>
              <w:t>务</w:t>
            </w:r>
          </w:p>
        </w:tc>
        <w:tc>
          <w:tcPr>
            <w:tcW w:w="3047" w:type="dxa"/>
            <w:vAlign w:val="top"/>
          </w:tcPr>
          <w:p>
            <w:pPr>
              <w:rPr>
                <w:rFonts w:ascii="宋体" w:hAnsi="宋体" w:cs="宋体"/>
                <w:szCs w:val="21"/>
                <w:highlight w:val="none"/>
              </w:rPr>
            </w:pPr>
            <w:r>
              <w:rPr>
                <w:rFonts w:hint="eastAsia" w:ascii="宋体" w:hAnsi="宋体" w:cs="宋体"/>
                <w:szCs w:val="21"/>
                <w:highlight w:val="none"/>
              </w:rPr>
              <w:t>养老机构数（家）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40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18</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机构养老床位数（张）</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7767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3200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580</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机构养老床位入住率（%）</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29.5</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31.2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47.4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居家养老服务</w:t>
            </w:r>
            <w:r>
              <w:rPr>
                <w:rFonts w:hint="eastAsia" w:ascii="宋体" w:hAnsi="宋体" w:cs="宋体"/>
                <w:szCs w:val="21"/>
                <w:highlight w:val="none"/>
                <w:lang w:eastAsia="zh-CN"/>
              </w:rPr>
              <w:t>（</w:t>
            </w:r>
            <w:r>
              <w:rPr>
                <w:rFonts w:hint="eastAsia" w:ascii="宋体" w:hAnsi="宋体" w:cs="宋体"/>
                <w:szCs w:val="21"/>
                <w:highlight w:val="none"/>
              </w:rPr>
              <w:t>照料</w:t>
            </w:r>
            <w:r>
              <w:rPr>
                <w:rFonts w:hint="eastAsia" w:ascii="宋体" w:hAnsi="宋体" w:cs="宋体"/>
                <w:szCs w:val="21"/>
                <w:highlight w:val="none"/>
                <w:lang w:eastAsia="zh-CN"/>
              </w:rPr>
              <w:t>）</w:t>
            </w:r>
            <w:r>
              <w:rPr>
                <w:rFonts w:hint="eastAsia" w:ascii="宋体" w:hAnsi="宋体" w:cs="宋体"/>
                <w:szCs w:val="21"/>
                <w:highlight w:val="none"/>
              </w:rPr>
              <w:t>中心（家）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291</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217</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集中配送餐中心（家）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老年食堂（家）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32</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86</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助餐服务点（处）</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46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205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登记就餐人数（人）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23154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13156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政府购买服务老年人数（人）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11111</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22265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11040</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政府购买服务老人比例（%）</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9.1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10</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适老化改造标准（万元/户）</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完成适老化改造家庭（户）</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500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348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restart"/>
            <w:vAlign w:val="top"/>
          </w:tcPr>
          <w:p>
            <w:pPr>
              <w:rPr>
                <w:rFonts w:ascii="宋体" w:hAnsi="宋体" w:cs="宋体"/>
                <w:szCs w:val="21"/>
                <w:highlight w:val="none"/>
              </w:rPr>
            </w:pPr>
            <w:r>
              <w:rPr>
                <w:rFonts w:hint="eastAsia" w:ascii="宋体" w:hAnsi="宋体" w:cs="宋体"/>
                <w:szCs w:val="21"/>
                <w:highlight w:val="none"/>
              </w:rPr>
              <w:t xml:space="preserve"> </w:t>
            </w:r>
          </w:p>
          <w:p>
            <w:pPr>
              <w:rPr>
                <w:rFonts w:ascii="宋体" w:hAnsi="宋体" w:cs="宋体"/>
                <w:szCs w:val="21"/>
                <w:highlight w:val="none"/>
              </w:rPr>
            </w:pPr>
          </w:p>
          <w:p>
            <w:pPr>
              <w:jc w:val="center"/>
              <w:rPr>
                <w:rFonts w:ascii="宋体" w:hAnsi="宋体" w:cs="宋体"/>
                <w:szCs w:val="21"/>
                <w:highlight w:val="none"/>
              </w:rPr>
            </w:pPr>
            <w:r>
              <w:rPr>
                <w:rFonts w:hint="eastAsia" w:ascii="宋体" w:hAnsi="宋体" w:cs="宋体"/>
                <w:szCs w:val="21"/>
                <w:highlight w:val="none"/>
              </w:rPr>
              <w:t>慈</w:t>
            </w:r>
          </w:p>
          <w:p>
            <w:pPr>
              <w:jc w:val="center"/>
              <w:rPr>
                <w:rFonts w:ascii="宋体" w:hAnsi="宋体" w:cs="宋体"/>
                <w:szCs w:val="21"/>
                <w:highlight w:val="none"/>
              </w:rPr>
            </w:pPr>
            <w:r>
              <w:rPr>
                <w:rFonts w:hint="eastAsia" w:ascii="宋体" w:hAnsi="宋体" w:cs="宋体"/>
                <w:szCs w:val="21"/>
                <w:highlight w:val="none"/>
              </w:rPr>
              <w:t>善</w:t>
            </w:r>
          </w:p>
          <w:p>
            <w:pPr>
              <w:jc w:val="center"/>
              <w:rPr>
                <w:rFonts w:ascii="宋体" w:hAnsi="宋体" w:cs="宋体"/>
                <w:szCs w:val="21"/>
                <w:highlight w:val="none"/>
              </w:rPr>
            </w:pPr>
            <w:r>
              <w:rPr>
                <w:rFonts w:hint="eastAsia" w:ascii="宋体" w:hAnsi="宋体" w:cs="宋体"/>
                <w:szCs w:val="21"/>
                <w:highlight w:val="none"/>
              </w:rPr>
              <w:t>公</w:t>
            </w:r>
          </w:p>
          <w:p>
            <w:pPr>
              <w:jc w:val="center"/>
              <w:rPr>
                <w:rFonts w:ascii="宋体" w:hAnsi="宋体" w:cs="宋体"/>
                <w:szCs w:val="21"/>
                <w:highlight w:val="none"/>
              </w:rPr>
            </w:pPr>
            <w:r>
              <w:rPr>
                <w:rFonts w:hint="eastAsia" w:ascii="宋体" w:hAnsi="宋体" w:cs="宋体"/>
                <w:szCs w:val="21"/>
                <w:highlight w:val="none"/>
              </w:rPr>
              <w:t>益</w:t>
            </w:r>
          </w:p>
          <w:p>
            <w:pPr>
              <w:rPr>
                <w:rFonts w:ascii="宋体" w:hAnsi="宋体" w:cs="宋体"/>
                <w:szCs w:val="21"/>
                <w:highlight w:val="none"/>
              </w:rPr>
            </w:pPr>
            <w:r>
              <w:rPr>
                <w:rFonts w:hint="eastAsia" w:ascii="宋体" w:hAnsi="宋体" w:cs="宋体"/>
                <w:szCs w:val="21"/>
                <w:highlight w:val="none"/>
              </w:rPr>
              <w:t xml:space="preserve">  </w:t>
            </w:r>
          </w:p>
        </w:tc>
        <w:tc>
          <w:tcPr>
            <w:tcW w:w="3047" w:type="dxa"/>
            <w:vAlign w:val="top"/>
          </w:tcPr>
          <w:p>
            <w:pPr>
              <w:rPr>
                <w:rFonts w:ascii="宋体" w:hAnsi="宋体" w:cs="宋体"/>
                <w:szCs w:val="21"/>
                <w:highlight w:val="none"/>
              </w:rPr>
            </w:pPr>
            <w:r>
              <w:rPr>
                <w:rFonts w:hint="eastAsia" w:ascii="宋体" w:hAnsi="宋体" w:cs="宋体"/>
                <w:szCs w:val="21"/>
                <w:highlight w:val="none"/>
              </w:rPr>
              <w:t>慈善分会</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慈善工作室</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343</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401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208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注册慈善公益组织（家）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注册登记志愿者人数（万）</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37.99</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募集慈善资金（万元）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2069.5</w:t>
            </w:r>
          </w:p>
        </w:tc>
        <w:tc>
          <w:tcPr>
            <w:tcW w:w="1355" w:type="dxa"/>
            <w:vAlign w:val="top"/>
          </w:tcPr>
          <w:p>
            <w:pPr>
              <w:jc w:val="center"/>
              <w:rPr>
                <w:rFonts w:hint="eastAsia" w:ascii="宋体" w:hAnsi="宋体" w:eastAsia="宋体" w:cs="宋体"/>
                <w:szCs w:val="21"/>
                <w:highlight w:val="none"/>
                <w:lang w:eastAsia="zh-CN"/>
              </w:rPr>
            </w:pPr>
            <w:r>
              <w:rPr>
                <w:rFonts w:hint="eastAsia" w:ascii="宋体" w:hAnsi="宋体" w:cs="宋体"/>
                <w:szCs w:val="21"/>
                <w:highlight w:val="none"/>
                <w:lang w:val="en-US" w:eastAsia="zh-CN"/>
              </w:rPr>
              <w:t>8591.27</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发放慈善资金（万元）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2483.6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3597.1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慈善救助帮扶人次（万）</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3.509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12.24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社区公益基金会</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restart"/>
            <w:vAlign w:val="top"/>
          </w:tcPr>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jc w:val="center"/>
              <w:rPr>
                <w:rFonts w:ascii="宋体" w:hAnsi="宋体" w:cs="宋体"/>
                <w:szCs w:val="21"/>
                <w:highlight w:val="none"/>
              </w:rPr>
            </w:pPr>
            <w:r>
              <w:rPr>
                <w:rFonts w:hint="eastAsia" w:ascii="宋体" w:hAnsi="宋体" w:cs="宋体"/>
                <w:szCs w:val="21"/>
                <w:highlight w:val="none"/>
              </w:rPr>
              <w:t>基</w:t>
            </w:r>
          </w:p>
          <w:p>
            <w:pPr>
              <w:jc w:val="center"/>
              <w:rPr>
                <w:rFonts w:ascii="宋体" w:hAnsi="宋体" w:cs="宋体"/>
                <w:szCs w:val="21"/>
                <w:highlight w:val="none"/>
              </w:rPr>
            </w:pPr>
            <w:r>
              <w:rPr>
                <w:rFonts w:hint="eastAsia" w:ascii="宋体" w:hAnsi="宋体" w:cs="宋体"/>
                <w:szCs w:val="21"/>
                <w:highlight w:val="none"/>
              </w:rPr>
              <w:t>层</w:t>
            </w:r>
          </w:p>
          <w:p>
            <w:pPr>
              <w:jc w:val="center"/>
              <w:rPr>
                <w:rFonts w:ascii="宋体" w:hAnsi="宋体" w:cs="宋体"/>
                <w:szCs w:val="21"/>
                <w:highlight w:val="none"/>
              </w:rPr>
            </w:pPr>
            <w:r>
              <w:rPr>
                <w:rFonts w:hint="eastAsia" w:ascii="宋体" w:hAnsi="宋体" w:cs="宋体"/>
                <w:szCs w:val="21"/>
                <w:highlight w:val="none"/>
              </w:rPr>
              <w:t>治</w:t>
            </w:r>
          </w:p>
          <w:p>
            <w:pPr>
              <w:jc w:val="center"/>
              <w:rPr>
                <w:rFonts w:ascii="宋体" w:hAnsi="宋体" w:cs="宋体"/>
                <w:szCs w:val="21"/>
                <w:highlight w:val="none"/>
              </w:rPr>
            </w:pPr>
            <w:r>
              <w:rPr>
                <w:rFonts w:hint="eastAsia" w:ascii="宋体" w:hAnsi="宋体" w:cs="宋体"/>
                <w:szCs w:val="21"/>
                <w:highlight w:val="none"/>
              </w:rPr>
              <w:t>理</w:t>
            </w:r>
          </w:p>
        </w:tc>
        <w:tc>
          <w:tcPr>
            <w:tcW w:w="3047" w:type="dxa"/>
            <w:vAlign w:val="top"/>
          </w:tcPr>
          <w:p>
            <w:pPr>
              <w:rPr>
                <w:rFonts w:ascii="宋体" w:hAnsi="宋体" w:cs="宋体"/>
                <w:szCs w:val="21"/>
                <w:highlight w:val="none"/>
              </w:rPr>
            </w:pPr>
            <w:r>
              <w:rPr>
                <w:rFonts w:hint="eastAsia" w:ascii="宋体" w:hAnsi="宋体" w:cs="宋体"/>
                <w:szCs w:val="21"/>
                <w:highlight w:val="none"/>
              </w:rPr>
              <w:t>城市社区（个）</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159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224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97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农村社区（个）</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184</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173</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116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城市在岗社工（人）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1206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2061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892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农村定编社工（人）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1176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1081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724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城市持证社工（人）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595</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1246</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539</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持证社工比例（%）</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49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60.5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60.5</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农村持证社工（人）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90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176</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注册登记社会组织（家）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650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1338</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586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备案社会组织（家）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1849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5148</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2447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镇街级社会工作站（家）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村社级社会工作室（家）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“市民客厅”</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6</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“居民驿站”</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30</w:t>
            </w:r>
          </w:p>
        </w:tc>
        <w:tc>
          <w:tcPr>
            <w:tcW w:w="1439" w:type="dxa"/>
            <w:vAlign w:val="top"/>
          </w:tcPr>
          <w:p>
            <w:pPr>
              <w:jc w:val="center"/>
              <w:rPr>
                <w:rFonts w:hint="eastAsia" w:ascii="宋体" w:hAnsi="宋体" w:eastAsia="宋体" w:cs="宋体"/>
                <w:szCs w:val="21"/>
                <w:highlight w:val="none"/>
                <w:lang w:eastAsia="zh-CN"/>
              </w:rPr>
            </w:pPr>
            <w:r>
              <w:rPr>
                <w:rFonts w:hint="eastAsia" w:ascii="宋体" w:hAnsi="宋体" w:cs="宋体"/>
                <w:szCs w:val="21"/>
                <w:highlight w:val="none"/>
                <w:lang w:val="en-US" w:eastAsia="zh-CN"/>
              </w:rPr>
              <w:t>8</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restart"/>
            <w:vAlign w:val="top"/>
          </w:tcPr>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rPr>
                <w:rFonts w:ascii="宋体" w:hAnsi="宋体" w:cs="宋体"/>
                <w:szCs w:val="21"/>
                <w:highlight w:val="none"/>
              </w:rPr>
            </w:pPr>
          </w:p>
          <w:p>
            <w:pPr>
              <w:jc w:val="center"/>
              <w:rPr>
                <w:rFonts w:ascii="宋体" w:hAnsi="宋体" w:cs="宋体"/>
                <w:szCs w:val="21"/>
                <w:highlight w:val="none"/>
              </w:rPr>
            </w:pPr>
            <w:r>
              <w:rPr>
                <w:rFonts w:hint="eastAsia" w:ascii="宋体" w:hAnsi="宋体" w:cs="宋体"/>
                <w:szCs w:val="21"/>
                <w:highlight w:val="none"/>
              </w:rPr>
              <w:t>专</w:t>
            </w:r>
          </w:p>
          <w:p>
            <w:pPr>
              <w:jc w:val="center"/>
              <w:rPr>
                <w:rFonts w:ascii="宋体" w:hAnsi="宋体" w:cs="宋体"/>
                <w:szCs w:val="21"/>
                <w:highlight w:val="none"/>
              </w:rPr>
            </w:pPr>
            <w:r>
              <w:rPr>
                <w:rFonts w:hint="eastAsia" w:ascii="宋体" w:hAnsi="宋体" w:cs="宋体"/>
                <w:szCs w:val="21"/>
                <w:highlight w:val="none"/>
              </w:rPr>
              <w:t>项</w:t>
            </w:r>
          </w:p>
          <w:p>
            <w:pPr>
              <w:jc w:val="center"/>
              <w:rPr>
                <w:rFonts w:ascii="宋体" w:hAnsi="宋体" w:cs="宋体"/>
                <w:szCs w:val="21"/>
                <w:highlight w:val="none"/>
              </w:rPr>
            </w:pPr>
            <w:r>
              <w:rPr>
                <w:rFonts w:hint="eastAsia" w:ascii="宋体" w:hAnsi="宋体" w:cs="宋体"/>
                <w:szCs w:val="21"/>
                <w:highlight w:val="none"/>
              </w:rPr>
              <w:t>事</w:t>
            </w:r>
          </w:p>
          <w:p>
            <w:pPr>
              <w:jc w:val="center"/>
              <w:rPr>
                <w:rFonts w:ascii="宋体" w:hAnsi="宋体" w:cs="宋体"/>
                <w:szCs w:val="21"/>
                <w:highlight w:val="none"/>
              </w:rPr>
            </w:pPr>
            <w:r>
              <w:rPr>
                <w:rFonts w:hint="eastAsia" w:ascii="宋体" w:hAnsi="宋体" w:cs="宋体"/>
                <w:szCs w:val="21"/>
                <w:highlight w:val="none"/>
              </w:rPr>
              <w:t>务</w:t>
            </w:r>
          </w:p>
        </w:tc>
        <w:tc>
          <w:tcPr>
            <w:tcW w:w="3047" w:type="dxa"/>
            <w:vAlign w:val="top"/>
          </w:tcPr>
          <w:p>
            <w:pPr>
              <w:rPr>
                <w:rFonts w:ascii="宋体" w:hAnsi="宋体" w:cs="宋体"/>
                <w:szCs w:val="21"/>
                <w:highlight w:val="none"/>
              </w:rPr>
            </w:pPr>
            <w:r>
              <w:rPr>
                <w:rFonts w:hint="eastAsia" w:ascii="宋体" w:hAnsi="宋体" w:cs="宋体"/>
                <w:szCs w:val="21"/>
                <w:highlight w:val="none"/>
              </w:rPr>
              <w:t>结婚办理（对）</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7629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6251</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离婚办理（对）</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2374</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2147</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收养登记（件）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79</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命名/更名（件）</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68</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90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51</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地名门牌证（本）</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16667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14594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7489</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坟墓迁移整治（座）</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607</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3752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1524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节地生态安葬比例（%）</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100</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100</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100</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室内骨灰格位安葬比例（%）</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62</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24</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24</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室外生态墓地安葬比例（%）</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38</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76</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76</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水库移民（人）</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4668</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4975</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4467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发放移民直补资金（万元）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210.015</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297.9</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267.42</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移民后期扶持项目（个）</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16</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9</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7</w:t>
            </w:r>
          </w:p>
        </w:tc>
        <w:tc>
          <w:tcPr>
            <w:tcW w:w="767" w:type="dxa"/>
            <w:vAlign w:val="top"/>
          </w:tcPr>
          <w:p>
            <w:pPr>
              <w:rPr>
                <w:rFonts w:ascii="宋体" w:hAnsi="宋体" w:cs="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651" w:type="dxa"/>
            <w:vMerge w:val="continue"/>
            <w:vAlign w:val="top"/>
          </w:tcPr>
          <w:p>
            <w:pPr>
              <w:rPr>
                <w:rFonts w:ascii="宋体" w:hAnsi="宋体" w:cs="宋体"/>
                <w:szCs w:val="21"/>
                <w:highlight w:val="none"/>
              </w:rPr>
            </w:pPr>
          </w:p>
        </w:tc>
        <w:tc>
          <w:tcPr>
            <w:tcW w:w="3047" w:type="dxa"/>
            <w:vAlign w:val="top"/>
          </w:tcPr>
          <w:p>
            <w:pPr>
              <w:rPr>
                <w:rFonts w:ascii="宋体" w:hAnsi="宋体" w:cs="宋体"/>
                <w:szCs w:val="21"/>
                <w:highlight w:val="none"/>
              </w:rPr>
            </w:pPr>
            <w:r>
              <w:rPr>
                <w:rFonts w:hint="eastAsia" w:ascii="宋体" w:hAnsi="宋体" w:cs="宋体"/>
                <w:szCs w:val="21"/>
                <w:highlight w:val="none"/>
              </w:rPr>
              <w:t>移民项目补助资金（万元）</w:t>
            </w:r>
          </w:p>
        </w:tc>
        <w:tc>
          <w:tcPr>
            <w:tcW w:w="1380" w:type="dxa"/>
            <w:vAlign w:val="top"/>
          </w:tcPr>
          <w:p>
            <w:pPr>
              <w:jc w:val="center"/>
              <w:rPr>
                <w:rFonts w:ascii="宋体" w:hAnsi="宋体" w:cs="宋体"/>
                <w:szCs w:val="21"/>
                <w:highlight w:val="none"/>
              </w:rPr>
            </w:pPr>
            <w:r>
              <w:rPr>
                <w:rFonts w:hint="eastAsia" w:ascii="宋体" w:hAnsi="宋体" w:cs="宋体"/>
                <w:szCs w:val="21"/>
                <w:highlight w:val="none"/>
              </w:rPr>
              <w:t>396.28</w:t>
            </w:r>
          </w:p>
        </w:tc>
        <w:tc>
          <w:tcPr>
            <w:tcW w:w="1355" w:type="dxa"/>
            <w:vAlign w:val="top"/>
          </w:tcPr>
          <w:p>
            <w:pPr>
              <w:jc w:val="center"/>
              <w:rPr>
                <w:rFonts w:ascii="宋体" w:hAnsi="宋体" w:cs="宋体"/>
                <w:szCs w:val="21"/>
                <w:highlight w:val="none"/>
              </w:rPr>
            </w:pPr>
            <w:r>
              <w:rPr>
                <w:rFonts w:hint="eastAsia" w:ascii="宋体" w:hAnsi="宋体" w:cs="宋体"/>
                <w:szCs w:val="21"/>
                <w:highlight w:val="none"/>
              </w:rPr>
              <w:t>743.2</w:t>
            </w:r>
          </w:p>
        </w:tc>
        <w:tc>
          <w:tcPr>
            <w:tcW w:w="1439" w:type="dxa"/>
            <w:vAlign w:val="top"/>
          </w:tcPr>
          <w:p>
            <w:pPr>
              <w:jc w:val="center"/>
              <w:rPr>
                <w:rFonts w:ascii="宋体" w:hAnsi="宋体" w:cs="宋体"/>
                <w:szCs w:val="21"/>
                <w:highlight w:val="none"/>
              </w:rPr>
            </w:pPr>
            <w:r>
              <w:rPr>
                <w:rFonts w:hint="eastAsia" w:ascii="宋体" w:hAnsi="宋体" w:cs="宋体"/>
                <w:szCs w:val="21"/>
                <w:highlight w:val="none"/>
              </w:rPr>
              <w:t>535.2</w:t>
            </w:r>
          </w:p>
        </w:tc>
        <w:tc>
          <w:tcPr>
            <w:tcW w:w="767" w:type="dxa"/>
            <w:vAlign w:val="top"/>
          </w:tcPr>
          <w:p>
            <w:pPr>
              <w:rPr>
                <w:rFonts w:ascii="宋体" w:hAnsi="宋体" w:cs="宋体"/>
                <w:szCs w:val="21"/>
                <w:highlight w:val="none"/>
              </w:rPr>
            </w:pPr>
          </w:p>
        </w:tc>
      </w:tr>
    </w:tbl>
    <w:p>
      <w:pPr>
        <w:rPr>
          <w:rFonts w:ascii="仿宋_GB2312" w:hAnsi="仿宋_GB2312" w:eastAsia="仿宋_GB2312" w:cs="仿宋_GB2312"/>
          <w:b/>
          <w:bCs/>
          <w:sz w:val="32"/>
          <w:szCs w:val="32"/>
          <w:highlight w:val="none"/>
        </w:rPr>
      </w:pP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（二） 发展机遇</w:t>
      </w:r>
    </w:p>
    <w:p>
      <w:pPr>
        <w:ind w:firstLine="57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民政事业连着千家万户、关乎民生民心，是社会主义现代化建设的全局性、兜底性、基础性工作，也是展示中国特色社会主义制度优越性的重要窗口。“十四五”时期，我区将在全面建成小康社会基础上，高水平开启社会主义现代化建设、共同富裕示范区建设新征程，初步建成“创新余杭、品质之区、文明圣地”，实现经济发展取得新成效、改革开放迈出新步伐、社会文明程度得到新提高、生态文明建设实现新进步、民生福祉达到新水平、治理效能得到新提升，为2035年基本实现社会主义现代化起好步开好局，民政事业的发展也将迎来新的挑战和机遇。</w:t>
      </w:r>
    </w:p>
    <w:p>
      <w:pPr>
        <w:ind w:firstLine="57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民生需求层级递升对民政事业发展的新要求</w:t>
      </w:r>
      <w:r>
        <w:rPr>
          <w:rFonts w:hint="eastAsia" w:ascii="仿宋_GB2312" w:hAnsi="仿宋_GB2312" w:eastAsia="仿宋_GB2312" w:cs="仿宋_GB2312"/>
          <w:sz w:val="32"/>
          <w:szCs w:val="32"/>
          <w:highlight w:val="none"/>
        </w:rPr>
        <w:t xml:space="preserve"> 按常住人口计算，我区2020年人均GDP已达17.4万元，随着经济社会发展和居民收入水平的提升，城乡居民民生需求越来越多样化、美好化、品质化，对社会救助、养老服务、社区治理、专项事务等公共服务的需求层次也越来越高，要求民政事业深化供给侧结构性改革，不断创新服务，拓展服务领域，丰富服务内容，提升服务能力和品质。</w:t>
      </w:r>
    </w:p>
    <w:p>
      <w:pPr>
        <w:ind w:firstLine="57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外部人口大量流入对民政事业发展的新要求 </w:t>
      </w:r>
      <w:bookmarkStart w:id="1" w:name="_Hlk82374223"/>
      <w:r>
        <w:rPr>
          <w:rFonts w:hint="eastAsia" w:ascii="仿宋_GB2312" w:hAnsi="仿宋_GB2312" w:eastAsia="仿宋_GB2312" w:cs="仿宋_GB2312"/>
          <w:sz w:val="32"/>
          <w:szCs w:val="32"/>
          <w:highlight w:val="none"/>
        </w:rPr>
        <w:t>“十三五”期间，</w:t>
      </w:r>
      <w:bookmarkEnd w:id="1"/>
      <w:r>
        <w:rPr>
          <w:rFonts w:hint="eastAsia" w:ascii="仿宋_GB2312" w:hAnsi="仿宋_GB2312" w:eastAsia="仿宋_GB2312" w:cs="仿宋_GB2312"/>
          <w:sz w:val="32"/>
          <w:szCs w:val="32"/>
          <w:highlight w:val="none"/>
        </w:rPr>
        <w:t>我区外部人口流入量大幅递增，2020年非本地户籍常住人口已超过40万，预计这个态势还将延续下去。外部人口的大量流入，为经济社会发展增加了活力，同时也对民政事业发展提出了新的要求，养老服务、社会救助等稀缺性民生福利资源，如何向非本地户籍人口开放，在本地户籍人口与非本地户籍人口之间，形成某种公平有序的“差异化共享”格局，如何界定非户籍人口的社区成员身份，吸纳他们更多地参与和实现基层社会的共建共治共享等，都是有待探索和解决的问题。</w:t>
      </w:r>
    </w:p>
    <w:p>
      <w:pPr>
        <w:ind w:firstLine="570"/>
        <w:rPr>
          <w:rFonts w:ascii="仿宋_GB2312" w:hAnsi="仿宋_GB2312" w:eastAsia="仿宋_GB2312" w:cs="仿宋_GB2312"/>
          <w:b/>
          <w:bCs/>
          <w:sz w:val="32"/>
          <w:szCs w:val="32"/>
          <w:highlight w:val="none"/>
        </w:rPr>
      </w:pPr>
      <w:r>
        <w:rPr>
          <w:rFonts w:hint="eastAsia" w:ascii="仿宋_GB2312" w:hAnsi="仿宋_GB2312" w:eastAsia="仿宋_GB2312" w:cs="仿宋_GB2312"/>
          <w:b/>
          <w:bCs/>
          <w:sz w:val="32"/>
          <w:szCs w:val="32"/>
          <w:highlight w:val="none"/>
        </w:rPr>
        <w:t xml:space="preserve">城乡发展不平衡对民政事业发展的新要求 </w:t>
      </w:r>
      <w:r>
        <w:rPr>
          <w:rFonts w:hint="eastAsia" w:ascii="仿宋_GB2312" w:hAnsi="仿宋_GB2312" w:eastAsia="仿宋_GB2312" w:cs="仿宋_GB2312"/>
          <w:sz w:val="32"/>
          <w:szCs w:val="32"/>
          <w:highlight w:val="none"/>
        </w:rPr>
        <w:t>我区辖域面积较大，城乡发展不平衡，部分远郊农村特别是偏远山区，经济社会发展动能相对不足，由于劳动人口持续外流，迄今仍存在着较普遍的村民“三留守”、村庄“空壳化”等现象，要求民政事业进一步探索创新城乡统筹、融合发展的体制机制，在深化完善兜底性、基础性民生保障的同时，探索实施扶持型的、发展型的民政服务，协力推进我区新一轮乡村振兴和新农村建设。</w:t>
      </w:r>
      <w:r>
        <w:rPr>
          <w:rFonts w:hint="eastAsia" w:ascii="仿宋_GB2312" w:hAnsi="仿宋_GB2312" w:eastAsia="仿宋_GB2312" w:cs="仿宋_GB2312"/>
          <w:b/>
          <w:bCs/>
          <w:sz w:val="32"/>
          <w:szCs w:val="32"/>
          <w:highlight w:val="none"/>
        </w:rPr>
        <w:t xml:space="preserve"> </w:t>
      </w:r>
    </w:p>
    <w:p>
      <w:pPr>
        <w:ind w:firstLine="57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共同富裕示范区建设对民政事业发展的新要求 </w:t>
      </w:r>
      <w:r>
        <w:rPr>
          <w:rFonts w:hint="eastAsia" w:ascii="仿宋_GB2312" w:hAnsi="仿宋_GB2312" w:eastAsia="仿宋_GB2312" w:cs="仿宋_GB2312"/>
          <w:sz w:val="32"/>
          <w:szCs w:val="32"/>
          <w:highlight w:val="none"/>
        </w:rPr>
        <w:t>“十三五”期末，我区城乡居民人均可支配收入达到6</w:t>
      </w:r>
      <w:r>
        <w:rPr>
          <w:rFonts w:ascii="仿宋_GB2312" w:hAnsi="仿宋_GB2312" w:eastAsia="仿宋_GB2312" w:cs="仿宋_GB2312"/>
          <w:sz w:val="32"/>
          <w:szCs w:val="32"/>
          <w:highlight w:val="none"/>
        </w:rPr>
        <w:t>1676</w:t>
      </w:r>
      <w:r>
        <w:rPr>
          <w:rFonts w:hint="eastAsia" w:ascii="仿宋_GB2312" w:hAnsi="仿宋_GB2312" w:eastAsia="仿宋_GB2312" w:cs="仿宋_GB2312"/>
          <w:sz w:val="32"/>
          <w:szCs w:val="32"/>
          <w:highlight w:val="none"/>
        </w:rPr>
        <w:t>元，总体上看已经日益富裕起来，但仍然存在着一定数量的低收入家庭或相对贫困群体，要求民政事业在优化政府资源配置的基础上，进一步动员和汇聚各种社会力量，为低收入家庭和相对贫困群体增权赋能，帮助他们提升获取资源、机会和收入的能力，通过“扶一把、送一程”，让低收入家庭早日告别相对贫困状态、迈上共同富裕之路。</w:t>
      </w:r>
    </w:p>
    <w:p>
      <w:pPr>
        <w:ind w:firstLine="57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资源供给不足对民政事业发展的新要求 </w:t>
      </w:r>
      <w:r>
        <w:rPr>
          <w:rFonts w:hint="eastAsia" w:ascii="仿宋_GB2312" w:hAnsi="仿宋_GB2312" w:eastAsia="仿宋_GB2312" w:cs="仿宋_GB2312"/>
          <w:sz w:val="32"/>
          <w:szCs w:val="32"/>
          <w:highlight w:val="none"/>
        </w:rPr>
        <w:t xml:space="preserve">城乡居民对民政服务的需求与日俱增，而民政服务各领域都需要有相应的资源投入，资源供给不足是“常态”，要求民政事业从“等米下锅”转向“找米下锅”，从“政府办民政”转向“社会办民政”，加快推进现代慈善-公益事业的发展，进一步激活和引导更多民间社会资源进入民政服务领域，使民政事业发展从主要依靠政府财政转移支付，转向更多地依靠“社会转移支付”。 </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面对新形势，抓住新机遇，谋划新发展。“十四五”时期，我区民政事业将进一步贯彻落实新发展理念，建构“大民政”新格局，以高质量发展为主题，以改革创新为动力，以满足城乡居民日益增长的美好生活需求为目标，围绕“三个聚焦”更好履行“两个基本一个基层”工作职责，以“头雁风采”打造民政事业的余杭样本，以“品质民政”持续提升城乡居民幸福感，以“智慧民政”实现民政服务优质高效，在服务全区经济社会发展大局中发挥更大作用，为全市全省民政事业现代化做出更大贡献。</w:t>
      </w:r>
      <w:bookmarkStart w:id="2" w:name="_Hlk53001920"/>
    </w:p>
    <w:bookmarkEnd w:id="2"/>
    <w:p>
      <w:pPr>
        <w:pStyle w:val="2"/>
        <w:spacing w:line="600" w:lineRule="exact"/>
        <w:ind w:firstLine="640" w:firstLineChars="200"/>
        <w:rPr>
          <w:rFonts w:ascii="黑体" w:eastAsia="黑体"/>
          <w:b w:val="0"/>
          <w:sz w:val="32"/>
          <w:szCs w:val="32"/>
          <w:highlight w:val="none"/>
        </w:rPr>
      </w:pPr>
      <w:r>
        <w:rPr>
          <w:rFonts w:hint="eastAsia" w:ascii="黑体" w:eastAsia="黑体"/>
          <w:b w:val="0"/>
          <w:sz w:val="32"/>
          <w:szCs w:val="32"/>
          <w:highlight w:val="none"/>
        </w:rPr>
        <w:t>二．总体定位</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 xml:space="preserve">（一）指导思想 </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坚持以习近平新时代中国特色社会主义思想为指导，</w:t>
      </w:r>
      <w:r>
        <w:rPr>
          <w:rFonts w:hint="eastAsia" w:ascii="仿宋_GB2312" w:hAnsi="仿宋_GB2312" w:eastAsia="仿宋_GB2312" w:cs="仿宋_GB2312"/>
          <w:sz w:val="32"/>
          <w:szCs w:val="32"/>
          <w:highlight w:val="none"/>
          <w:lang w:eastAsia="zh-CN"/>
        </w:rPr>
        <w:t>坚持以人民为中心，扛起忠实践行“八八战略”、奋力打造“重要窗口”使命担当，</w:t>
      </w:r>
      <w:r>
        <w:rPr>
          <w:rFonts w:hint="eastAsia" w:ascii="仿宋_GB2312" w:hAnsi="仿宋_GB2312" w:eastAsia="仿宋_GB2312" w:cs="仿宋_GB2312"/>
          <w:sz w:val="32"/>
          <w:szCs w:val="32"/>
          <w:highlight w:val="none"/>
        </w:rPr>
        <w:t>深化落实“民政为民、民政爱民”工作理念，紧紧围绕全省“四个标杆区”、全市“六大示范区”和我区“创新余杭、品质之区、文明圣地”以及“三个全域”建设任务，全面提升基本民生保障、基层社会治理、基本社会服务水平，着力打造精准保障、和谐治理、温暖城市、幸福养老、移风易俗、智慧民政的余杭样本，使人民群众获得感、幸福感、安全感更加充实、更有保障、更可持续。</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（二）基本原则</w:t>
      </w:r>
    </w:p>
    <w:p>
      <w:pPr>
        <w:ind w:firstLine="803" w:firstLineChars="25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以人为本，为民爱民 </w:t>
      </w:r>
      <w:r>
        <w:rPr>
          <w:rFonts w:hint="eastAsia" w:ascii="仿宋_GB2312" w:hAnsi="仿宋_GB2312" w:eastAsia="仿宋_GB2312" w:cs="仿宋_GB2312"/>
          <w:sz w:val="32"/>
          <w:szCs w:val="32"/>
          <w:highlight w:val="none"/>
        </w:rPr>
        <w:t>坚持“以人为本”的科学发展观，以“民政为民、民政爱民”作为根本出发点和落脚点，立足我区基本区情，尽力而为、量力而行，着力提升基本民生保障和公共服务供给能力，满足城乡居民日益增长的民政服务需求，切实解决人民群众所关切的现实问题，保障好民生、维护好民权、落实好民利。</w:t>
      </w:r>
    </w:p>
    <w:p>
      <w:pPr>
        <w:ind w:firstLine="803" w:firstLineChars="25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城乡统筹，协调发展 </w:t>
      </w:r>
      <w:r>
        <w:rPr>
          <w:rFonts w:hint="eastAsia" w:ascii="仿宋_GB2312" w:hAnsi="仿宋_GB2312" w:eastAsia="仿宋_GB2312" w:cs="仿宋_GB2312"/>
          <w:sz w:val="32"/>
          <w:szCs w:val="32"/>
          <w:highlight w:val="none"/>
        </w:rPr>
        <w:t>坚持城乡统筹的区域协调发展，加大民政公共资源配置向农村地区尤其是偏远山区农村倾斜的力度，拉长农村地区民政事业发展“短板”，加快推进民政资源配置城乡均衡、基础设施建设城乡并进、基本公共服务城乡联动，实现民政事业城乡一体化融合发展。</w:t>
      </w:r>
    </w:p>
    <w:p>
      <w:pPr>
        <w:ind w:firstLine="803" w:firstLineChars="25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政府主导，社会协同 </w:t>
      </w:r>
      <w:r>
        <w:rPr>
          <w:rFonts w:hint="eastAsia" w:ascii="仿宋_GB2312" w:hAnsi="仿宋_GB2312" w:eastAsia="仿宋_GB2312" w:cs="仿宋_GB2312"/>
          <w:sz w:val="32"/>
          <w:szCs w:val="32"/>
          <w:highlight w:val="none"/>
        </w:rPr>
        <w:t>坚持政府在民政事业发展中的主导作用，鼓励、引导和支持社会各界广泛参与，协同推进民政事业持续稳定发展，建立基础性投入政府为主、延展性投入社会为主、政府投入与社会投入双引擎驱动的资源投入机制，增加民政服务供给总量，提高民政服务供给水平。</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改革创新，数字赋能</w:t>
      </w:r>
      <w:r>
        <w:rPr>
          <w:rFonts w:hint="eastAsia" w:ascii="仿宋_GB2312" w:hAnsi="仿宋_GB2312" w:eastAsia="仿宋_GB2312" w:cs="仿宋_GB2312"/>
          <w:sz w:val="32"/>
          <w:szCs w:val="32"/>
          <w:highlight w:val="none"/>
        </w:rPr>
        <w:t xml:space="preserve"> 坚持解放思想、实事求是的改革创新精神，探索行之有效、具有示范意义的体制机制创新，强化数字赋能和智慧民政建设，主动应对新形势新挑战，继续保持我区民政事业在全市乃至全省走在引领发展的前列，进一步展现“重要窗口”的头雁风采和共同富裕示范区的责任担当。  </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（三）发展目标</w:t>
      </w:r>
    </w:p>
    <w:p>
      <w:pPr>
        <w:ind w:firstLine="585"/>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到2025年，我区民政事业发展再上新台阶，形成与城乡经济社会发展水平相适应的、惠及全区人民的现代民政服务新格局，实现基本民生保障更充裕更普惠、基层社会治理更有秩序更具活力、基本社会服务更优质更贴心、人民群众更幸福更满意，民政事业整体发展继续保持全市领先水平。</w:t>
      </w:r>
    </w:p>
    <w:p>
      <w:pPr>
        <w:ind w:firstLine="585"/>
        <w:rPr>
          <w:rFonts w:ascii="仿宋_GB2312" w:hAnsi="仿宋_GB2312" w:eastAsia="仿宋_GB2312" w:cs="仿宋_GB2312"/>
          <w:color w:val="FF0000"/>
          <w:sz w:val="32"/>
          <w:szCs w:val="32"/>
          <w:highlight w:val="none"/>
        </w:rPr>
      </w:pPr>
      <w:r>
        <w:rPr>
          <w:rFonts w:hint="eastAsia" w:ascii="仿宋_GB2312" w:hAnsi="仿宋_GB2312" w:eastAsia="仿宋_GB2312" w:cs="仿宋_GB2312"/>
          <w:b/>
          <w:bCs/>
          <w:sz w:val="32"/>
          <w:szCs w:val="32"/>
          <w:highlight w:val="none"/>
        </w:rPr>
        <w:t>高标准推进民生保障体系建设</w:t>
      </w:r>
      <w:r>
        <w:rPr>
          <w:rFonts w:hint="eastAsia" w:ascii="仿宋_GB2312" w:hAnsi="仿宋_GB2312" w:eastAsia="仿宋_GB2312" w:cs="仿宋_GB2312"/>
          <w:sz w:val="32"/>
          <w:szCs w:val="32"/>
          <w:highlight w:val="none"/>
        </w:rPr>
        <w:t xml:space="preserve"> 建成多元化、全方位的“1+8+X”大救助体系，优化社会救助体制机制和操作流程，在确保实现“三不让”、困难群体精准救助、特殊群体关爱帮扶的基础上，拓展社会力量参与空间，延伸救助服务的领域和功能，实现救助保障水平与经济社会发展同步增长。加强儿童保护和福利保障，建设集康复、特教、养育于一体的综合性未成年人救助保护中心，至2025年，实现镇街级示范型儿童之家全覆盖、村社级基础型儿童之家服务全覆盖。</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高质量推进养老服务体系建设</w:t>
      </w:r>
      <w:r>
        <w:rPr>
          <w:rFonts w:hint="eastAsia" w:ascii="仿宋_GB2312" w:hAnsi="仿宋_GB2312" w:eastAsia="仿宋_GB2312" w:cs="仿宋_GB2312"/>
          <w:sz w:val="32"/>
          <w:szCs w:val="32"/>
          <w:highlight w:val="none"/>
        </w:rPr>
        <w:t xml:space="preserve"> 建成多层次、高质量智慧养老服务体系，优化城乡养老基础设施布局和养老服务资源配置，实现城乡养老服务更加均衡，专业化、智能化水平显著提升。推进养老机构结构性调整，加快公办养老机构改革，支持规模化、连锁化、品牌化发展，提升护理型床位占比，居家社区机构养老服务更加紧密，综合照护能力显著增强。推进老年人家庭适老化改造更加普及，家庭养老照护床位占比逐步提高。</w:t>
      </w:r>
      <w:r>
        <w:rPr>
          <w:rFonts w:hint="eastAsia" w:ascii="仿宋_GB2312" w:hAnsi="仿宋_GB2312" w:eastAsia="仿宋_GB2312" w:cs="仿宋_GB2312"/>
          <w:sz w:val="32"/>
          <w:szCs w:val="32"/>
          <w:highlight w:val="none"/>
          <w:lang w:eastAsia="zh-CN"/>
        </w:rPr>
        <w:t>十四五期间，</w:t>
      </w:r>
      <w:r>
        <w:rPr>
          <w:rFonts w:hint="eastAsia" w:ascii="仿宋_GB2312" w:hAnsi="仿宋_GB2312" w:eastAsia="仿宋_GB2312" w:cs="仿宋_GB2312"/>
          <w:color w:val="auto"/>
          <w:sz w:val="32"/>
          <w:szCs w:val="32"/>
          <w:highlight w:val="none"/>
        </w:rPr>
        <w:t>出台余杭区“舒心养老”专项政策，从完善爱老护老生态体系、扩大老年人补助补贴、实施特殊老年群体关心关爱三方面打造全区老年人“舒心养老”新格局。</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高站位推进现代慈善-公益体系建设 </w:t>
      </w:r>
      <w:r>
        <w:rPr>
          <w:rFonts w:hint="eastAsia" w:ascii="仿宋_GB2312" w:hAnsi="仿宋_GB2312" w:eastAsia="仿宋_GB2312" w:cs="仿宋_GB2312"/>
          <w:sz w:val="32"/>
          <w:szCs w:val="32"/>
          <w:highlight w:val="none"/>
        </w:rPr>
        <w:t>建成政府推动、机构运作、社会参与的现代慈善-公益体系，鼓励异质化、多元化、线上线下联动发展。搭建数字化智慧化“公益大脑”，实现信息互联共享，创新监管模式、优化资源配置、丰富应用场景，为数字赋能公益慈善事业提供余杭样本。打造以互联网慈善公益为特色的“美好街区”、以慈善公益助力乡村振兴为特色的“公益小镇”。推动慈善公益事业向城乡基层社区延伸，培育人人重善行、人人做公益的现代文明风尚，</w:t>
      </w:r>
      <w:bookmarkStart w:id="3" w:name="_Hlk74766660"/>
      <w:r>
        <w:rPr>
          <w:rFonts w:hint="eastAsia" w:ascii="仿宋_GB2312" w:hAnsi="仿宋_GB2312" w:eastAsia="仿宋_GB2312" w:cs="仿宋_GB2312"/>
          <w:sz w:val="32"/>
          <w:szCs w:val="32"/>
          <w:highlight w:val="none"/>
        </w:rPr>
        <w:t>至2025年，公益性社区基金会达到</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个，实现全区镇街全覆盖，注册慈善公益组织达到</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个，登记志愿者人数达到总人口的25%。</w:t>
      </w:r>
      <w:bookmarkEnd w:id="3"/>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高效能推进基层社会治理体系建设</w:t>
      </w:r>
      <w:r>
        <w:rPr>
          <w:rFonts w:hint="eastAsia" w:ascii="仿宋_GB2312" w:hAnsi="仿宋_GB2312" w:eastAsia="仿宋_GB2312" w:cs="仿宋_GB2312"/>
          <w:sz w:val="32"/>
          <w:szCs w:val="32"/>
          <w:highlight w:val="none"/>
        </w:rPr>
        <w:t xml:space="preserve"> 建成“共建共治共享”的基层社会治理体系，完善“党建引领”、“四治融合”、“三社联动”机制，进一步优化基层民主和协商治理模式。探索社创中心建设，扶持农村社会企业，融合社会组织服务中心、社会工作站、儿童之家、慈善基地等于一体，促进乡村振兴和共同富裕。实现基层社区服务综合体城乡全覆盖，社会组织发展和社区工作队伍建设稳步推进，基层治理能力和社会服务质效显著提高，着力培育居民认同感归属感，进一步增强城乡社区的团结与友善、秩序与活力。</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高水平推进民政公共服务能力建设</w:t>
      </w:r>
      <w:r>
        <w:rPr>
          <w:rFonts w:hint="eastAsia" w:ascii="仿宋_GB2312" w:hAnsi="仿宋_GB2312" w:eastAsia="仿宋_GB2312" w:cs="仿宋_GB2312"/>
          <w:sz w:val="32"/>
          <w:szCs w:val="32"/>
          <w:highlight w:val="none"/>
        </w:rPr>
        <w:t xml:space="preserve"> 建成覆盖城乡、部门联动、信息共享的大民政网络平台，实现民政公共服务的数字化、智慧化、便利化转型；加快补齐养老服务、社区服务、殡葬服务等领域的基础设施“短板”，至2025年，主要基础设施配置全部达标。加强民政服务各领域的从业人员队伍建设，全面提升服务的专业化、职业化水平，至2025年，全区社工持证率达到65%以上，每万老年人口拥有持证养老护理员数达到30人。</w:t>
      </w:r>
      <w:bookmarkStart w:id="4" w:name="_Hlk53243054"/>
    </w:p>
    <w:p>
      <w:pPr>
        <w:spacing w:line="480" w:lineRule="auto"/>
        <w:rPr>
          <w:rFonts w:ascii="仿宋_GB2312" w:hAnsi="仿宋_GB2312" w:eastAsia="仿宋_GB2312" w:cs="仿宋_GB2312"/>
          <w:color w:val="FF0000"/>
          <w:sz w:val="32"/>
          <w:szCs w:val="32"/>
          <w:highlight w:val="none"/>
        </w:rPr>
      </w:pPr>
      <w:r>
        <w:rPr>
          <w:rFonts w:hint="eastAsia" w:ascii="仿宋_GB2312" w:hAnsi="仿宋_GB2312" w:eastAsia="仿宋_GB2312" w:cs="仿宋_GB2312"/>
          <w:b/>
          <w:bCs/>
          <w:sz w:val="32"/>
          <w:szCs w:val="32"/>
          <w:highlight w:val="none"/>
        </w:rPr>
        <w:t xml:space="preserve">      表2：“十四五”时期民政事业发展任务表</w:t>
      </w:r>
      <w:bookmarkEnd w:id="4"/>
    </w:p>
    <w:tbl>
      <w:tblPr>
        <w:tblStyle w:val="15"/>
        <w:tblW w:w="83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1"/>
        <w:gridCol w:w="6237"/>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851" w:type="dxa"/>
            <w:vAlign w:val="top"/>
          </w:tcPr>
          <w:p>
            <w:pPr>
              <w:spacing w:line="360" w:lineRule="auto"/>
              <w:jc w:val="center"/>
              <w:rPr>
                <w:rFonts w:ascii="宋体" w:hAnsi="宋体" w:cs="宋体"/>
                <w:b/>
                <w:bCs/>
                <w:szCs w:val="21"/>
                <w:highlight w:val="none"/>
              </w:rPr>
            </w:pPr>
            <w:r>
              <w:rPr>
                <w:rFonts w:hint="eastAsia" w:ascii="宋体" w:hAnsi="宋体" w:cs="宋体"/>
                <w:b/>
                <w:bCs/>
                <w:szCs w:val="21"/>
                <w:highlight w:val="none"/>
              </w:rPr>
              <w:t>类别</w:t>
            </w:r>
          </w:p>
        </w:tc>
        <w:tc>
          <w:tcPr>
            <w:tcW w:w="6237" w:type="dxa"/>
            <w:vAlign w:val="top"/>
          </w:tcPr>
          <w:p>
            <w:pPr>
              <w:spacing w:line="360" w:lineRule="auto"/>
              <w:jc w:val="center"/>
              <w:rPr>
                <w:rFonts w:ascii="宋体" w:hAnsi="宋体" w:cs="宋体"/>
                <w:b/>
                <w:bCs/>
                <w:szCs w:val="21"/>
                <w:highlight w:val="none"/>
              </w:rPr>
            </w:pPr>
            <w:r>
              <w:rPr>
                <w:rFonts w:hint="eastAsia" w:ascii="宋体" w:hAnsi="宋体" w:cs="宋体"/>
                <w:b/>
                <w:bCs/>
                <w:szCs w:val="21"/>
                <w:highlight w:val="none"/>
              </w:rPr>
              <w:t>主要项目及指标</w:t>
            </w:r>
          </w:p>
        </w:tc>
        <w:tc>
          <w:tcPr>
            <w:tcW w:w="1276" w:type="dxa"/>
            <w:vAlign w:val="top"/>
          </w:tcPr>
          <w:p>
            <w:pPr>
              <w:spacing w:line="360" w:lineRule="auto"/>
              <w:jc w:val="center"/>
              <w:rPr>
                <w:rFonts w:ascii="宋体" w:hAnsi="宋体" w:cs="宋体"/>
                <w:b/>
                <w:bCs/>
                <w:szCs w:val="21"/>
                <w:highlight w:val="none"/>
              </w:rPr>
            </w:pPr>
            <w:r>
              <w:rPr>
                <w:rFonts w:hint="eastAsia" w:ascii="宋体" w:hAnsi="宋体" w:cs="宋体"/>
                <w:b/>
                <w:bCs/>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851" w:type="dxa"/>
            <w:vMerge w:val="restart"/>
            <w:vAlign w:val="top"/>
          </w:tcPr>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hint="eastAsia" w:ascii="宋体" w:hAnsi="宋体" w:eastAsia="宋体" w:cs="宋体"/>
                <w:b/>
                <w:bCs/>
                <w:szCs w:val="21"/>
                <w:highlight w:val="none"/>
                <w:lang w:eastAsia="zh-CN"/>
              </w:rPr>
            </w:pPr>
            <w:r>
              <w:rPr>
                <w:rFonts w:hint="eastAsia" w:ascii="宋体" w:hAnsi="宋体" w:cs="宋体"/>
                <w:szCs w:val="21"/>
                <w:highlight w:val="none"/>
                <w:lang w:eastAsia="zh-CN"/>
              </w:rPr>
              <w:t>高水平打造精准保障标杆区</w:t>
            </w: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建成“1+8+X”大救助体系，在确保实现“三不让”、困难群体精准救助、特殊群体关爱帮扶基础上，延伸社会救助服务领域和功能，形成信息共享、资源统筹、供需对接的社会救助共同体</w:t>
            </w:r>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实现救助保障水平与经济社会发展同步增长，低保、特困人员基本生活标准每年按不低于城镇常住居民人均消费支出的30%、50%同步调整</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建立“家庭救助顾问”团队和对接平台，每500名社会救助对象配备1名救助经办人员</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hint="eastAsia" w:ascii="宋体" w:hAnsi="宋体" w:cs="宋体"/>
                <w:szCs w:val="21"/>
                <w:highlight w:val="none"/>
              </w:rPr>
            </w:pPr>
            <w:r>
              <w:rPr>
                <w:rFonts w:hint="eastAsia" w:ascii="宋体" w:hAnsi="宋体" w:cs="宋体"/>
                <w:szCs w:val="21"/>
                <w:highlight w:val="none"/>
              </w:rPr>
              <w:t>加强低收入家庭和相对贫困群体的增权赋能，提升其获取资源、机会和收入的能力，至2</w:t>
            </w:r>
            <w:r>
              <w:rPr>
                <w:rFonts w:ascii="宋体" w:hAnsi="宋体" w:cs="宋体"/>
                <w:szCs w:val="21"/>
                <w:highlight w:val="none"/>
              </w:rPr>
              <w:t>025</w:t>
            </w:r>
            <w:r>
              <w:rPr>
                <w:rFonts w:hint="eastAsia" w:ascii="宋体" w:hAnsi="宋体" w:cs="宋体"/>
                <w:szCs w:val="21"/>
                <w:highlight w:val="none"/>
              </w:rPr>
              <w:t>年，实现低收入家庭比例明显降低</w:t>
            </w:r>
          </w:p>
        </w:tc>
        <w:tc>
          <w:tcPr>
            <w:tcW w:w="1276" w:type="dxa"/>
            <w:vAlign w:val="center"/>
          </w:tcPr>
          <w:p>
            <w:pPr>
              <w:spacing w:line="276" w:lineRule="auto"/>
              <w:ind w:left="135"/>
              <w:jc w:val="left"/>
              <w:rPr>
                <w:rFonts w:hint="eastAsia" w:ascii="宋体" w:hAnsi="宋体" w:cs="宋体"/>
                <w:szCs w:val="21"/>
                <w:highlight w:val="none"/>
              </w:rPr>
            </w:pPr>
            <w:r>
              <w:rPr>
                <w:rFonts w:hint="eastAsia" w:ascii="宋体" w:hAnsi="宋体" w:cs="宋体"/>
                <w:szCs w:val="21"/>
                <w:highlight w:val="none"/>
              </w:rPr>
              <w:t>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探索将非本地户籍常住人口纳入基本社会救助保障范围，除提供临时救助或急难救助外，条件成熟时逐步开放就业救助、教育救助、医疗救助等</w:t>
            </w:r>
          </w:p>
        </w:tc>
        <w:tc>
          <w:tcPr>
            <w:tcW w:w="1276" w:type="dxa"/>
            <w:vAlign w:val="center"/>
          </w:tcPr>
          <w:p>
            <w:pPr>
              <w:spacing w:line="276" w:lineRule="auto"/>
              <w:ind w:left="135"/>
              <w:jc w:val="left"/>
              <w:rPr>
                <w:rFonts w:ascii="宋体" w:hAnsi="宋体" w:cs="宋体"/>
                <w:szCs w:val="21"/>
                <w:highlight w:val="none"/>
              </w:rPr>
            </w:pPr>
          </w:p>
          <w:p>
            <w:pPr>
              <w:spacing w:line="276"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完善儿童分层分类救助和福利保障，至2025年，建成集康复、特教、养育于一体的综合性未成年人救助保护中心</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健全留守儿童福利保障机制，开展监护指导、心理疏导、行为矫治、社会融入和家庭关系调适等综合服务</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加快普惠性儿童福利设施建设，至2025年，实现镇街级示范型儿童之家全覆盖、村社级基础型儿童之家服务全覆盖</w:t>
            </w:r>
          </w:p>
        </w:tc>
        <w:tc>
          <w:tcPr>
            <w:tcW w:w="1276" w:type="dxa"/>
            <w:vAlign w:val="center"/>
          </w:tcPr>
          <w:p>
            <w:pPr>
              <w:spacing w:line="36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51" w:type="dxa"/>
            <w:vMerge w:val="restart"/>
            <w:vAlign w:val="top"/>
          </w:tcPr>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hint="eastAsia" w:ascii="宋体" w:hAnsi="宋体" w:eastAsia="宋体" w:cs="宋体"/>
                <w:b/>
                <w:bCs/>
                <w:szCs w:val="21"/>
                <w:highlight w:val="none"/>
                <w:lang w:eastAsia="zh-CN"/>
              </w:rPr>
            </w:pPr>
            <w:r>
              <w:rPr>
                <w:rFonts w:hint="eastAsia" w:ascii="宋体" w:hAnsi="宋体" w:cs="宋体"/>
                <w:szCs w:val="21"/>
                <w:highlight w:val="none"/>
                <w:lang w:eastAsia="zh-CN"/>
              </w:rPr>
              <w:t>高水平打造幸福颐养标杆区</w:t>
            </w: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tc>
        <w:tc>
          <w:tcPr>
            <w:tcW w:w="6237" w:type="dxa"/>
            <w:vAlign w:val="top"/>
          </w:tcPr>
          <w:p>
            <w:pPr>
              <w:spacing w:line="276" w:lineRule="auto"/>
              <w:rPr>
                <w:rFonts w:hint="eastAsia" w:ascii="宋体" w:hAnsi="宋体" w:cs="宋体"/>
                <w:szCs w:val="21"/>
                <w:highlight w:val="none"/>
              </w:rPr>
            </w:pPr>
            <w:r>
              <w:rPr>
                <w:rFonts w:hint="eastAsia" w:ascii="宋体" w:hAnsi="宋体" w:cs="宋体"/>
                <w:szCs w:val="21"/>
                <w:highlight w:val="none"/>
              </w:rPr>
              <w:t>补齐养老服务场地设施短板，完善、规范城乡社区居家养老服务（照料）中心建设，至2</w:t>
            </w:r>
            <w:r>
              <w:rPr>
                <w:rFonts w:ascii="宋体" w:hAnsi="宋体" w:cs="宋体"/>
                <w:szCs w:val="21"/>
                <w:highlight w:val="none"/>
              </w:rPr>
              <w:t>025</w:t>
            </w:r>
            <w:r>
              <w:rPr>
                <w:rFonts w:hint="eastAsia" w:ascii="宋体" w:hAnsi="宋体" w:cs="宋体"/>
                <w:szCs w:val="21"/>
                <w:highlight w:val="none"/>
              </w:rPr>
              <w:t>年，建成“1</w:t>
            </w:r>
            <w:r>
              <w:rPr>
                <w:rFonts w:ascii="宋体" w:hAnsi="宋体" w:cs="宋体"/>
                <w:szCs w:val="21"/>
                <w:highlight w:val="none"/>
              </w:rPr>
              <w:t>5</w:t>
            </w:r>
            <w:r>
              <w:rPr>
                <w:rFonts w:hint="eastAsia" w:ascii="宋体" w:hAnsi="宋体" w:cs="宋体"/>
                <w:szCs w:val="21"/>
                <w:highlight w:val="none"/>
              </w:rPr>
              <w:t>分钟居家养老服务圈”</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推进养老服务社会化、规模化、连锁化、标准化发展，深化居家养老服务（照料）中心运营管理，提升服务品质</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 xml:space="preserve">对现有农村五保供养服务中心进行改造升级，进一步丰富服务功能、提升运营质量 </w:t>
            </w:r>
          </w:p>
        </w:tc>
        <w:tc>
          <w:tcPr>
            <w:tcW w:w="1276" w:type="dxa"/>
            <w:vAlign w:val="center"/>
          </w:tcPr>
          <w:p>
            <w:pPr>
              <w:spacing w:line="480" w:lineRule="auto"/>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引导养老机构适应社会需求转型发展，提升运营管理质量，至2025年，护理型床位占比达60%以上</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推进家庭养老照护床位建设，至2025年，家庭养老照护床位观念进一步普及，床位数量显著提升</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加强养老护理员队伍建设，至2</w:t>
            </w:r>
            <w:r>
              <w:rPr>
                <w:rFonts w:ascii="宋体" w:hAnsi="宋体" w:cs="宋体"/>
                <w:szCs w:val="21"/>
                <w:highlight w:val="none"/>
              </w:rPr>
              <w:t>025</w:t>
            </w:r>
            <w:r>
              <w:rPr>
                <w:rFonts w:hint="eastAsia" w:ascii="宋体" w:hAnsi="宋体" w:cs="宋体"/>
                <w:szCs w:val="21"/>
                <w:highlight w:val="none"/>
              </w:rPr>
              <w:t>年，每万老年人口拥有持证养老护理员达到3</w:t>
            </w:r>
            <w:r>
              <w:rPr>
                <w:rFonts w:ascii="宋体" w:hAnsi="宋体" w:cs="宋体"/>
                <w:szCs w:val="21"/>
                <w:highlight w:val="none"/>
              </w:rPr>
              <w:t>0</w:t>
            </w:r>
            <w:r>
              <w:rPr>
                <w:rFonts w:hint="eastAsia" w:ascii="宋体" w:hAnsi="宋体" w:cs="宋体"/>
                <w:szCs w:val="21"/>
                <w:highlight w:val="none"/>
              </w:rPr>
              <w:t>人，实施养老服务从业人员继续教育制度，从业人员技能提升率达到50%以上，新进人员岗前培训率达100%</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拓展人工智能、物联网、大数据等在养老领域的应用，提升养老助老服务的可及性和精准度，“十四五”期间，实现</w:t>
            </w:r>
            <w:r>
              <w:rPr>
                <w:rFonts w:hint="eastAsia" w:ascii="宋体" w:hAnsi="宋体" w:cs="宋体"/>
                <w:color w:val="auto"/>
                <w:szCs w:val="21"/>
                <w:highlight w:val="none"/>
              </w:rPr>
              <w:t>“舒心养老”智慧应用场景</w:t>
            </w:r>
            <w:r>
              <w:rPr>
                <w:rFonts w:hint="eastAsia" w:ascii="宋体" w:hAnsi="宋体" w:cs="宋体"/>
                <w:szCs w:val="21"/>
                <w:highlight w:val="none"/>
              </w:rPr>
              <w:t>运营基本成熟</w:t>
            </w:r>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 w:hRule="atLeast"/>
          <w:jc w:val="center"/>
        </w:trPr>
        <w:tc>
          <w:tcPr>
            <w:tcW w:w="851" w:type="dxa"/>
            <w:vMerge w:val="restart"/>
            <w:vAlign w:val="top"/>
          </w:tcPr>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hint="eastAsia" w:ascii="宋体" w:hAnsi="宋体" w:eastAsia="宋体" w:cs="宋体"/>
                <w:b/>
                <w:bCs/>
                <w:szCs w:val="21"/>
                <w:highlight w:val="none"/>
                <w:lang w:eastAsia="zh-CN"/>
              </w:rPr>
            </w:pPr>
            <w:r>
              <w:rPr>
                <w:rFonts w:hint="eastAsia" w:ascii="宋体" w:hAnsi="宋体" w:cs="宋体"/>
                <w:szCs w:val="21"/>
                <w:highlight w:val="none"/>
                <w:lang w:eastAsia="zh-CN"/>
              </w:rPr>
              <w:t>高水平打造人人慈善标杆区</w:t>
            </w: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培育人人重善行、人人做公益的现代文明风尚，</w:t>
            </w:r>
            <w:bookmarkStart w:id="5" w:name="_Hlk57884565"/>
            <w:r>
              <w:rPr>
                <w:rFonts w:hint="eastAsia" w:ascii="宋体" w:hAnsi="宋体" w:cs="宋体"/>
                <w:szCs w:val="21"/>
                <w:highlight w:val="none"/>
              </w:rPr>
              <w:t xml:space="preserve">实现年度慈善公益捐赠额增长率高于同期城乡居民可支配收入增长率，登记志愿者人数达到常住总人口的25% </w:t>
            </w:r>
            <w:bookmarkEnd w:id="5"/>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color w:val="FF0000"/>
                <w:szCs w:val="21"/>
                <w:highlight w:val="none"/>
              </w:rPr>
            </w:pPr>
            <w:r>
              <w:rPr>
                <w:rFonts w:hint="eastAsia" w:ascii="宋体" w:hAnsi="宋体" w:cs="宋体"/>
                <w:szCs w:val="21"/>
                <w:highlight w:val="none"/>
              </w:rPr>
              <w:t>推动慈善公益事业向及城乡基层延伸，至2025年，公益性社区基金会达到</w:t>
            </w:r>
            <w:r>
              <w:rPr>
                <w:rFonts w:hint="eastAsia" w:ascii="宋体" w:hAnsi="宋体" w:cs="宋体"/>
                <w:szCs w:val="21"/>
                <w:highlight w:val="none"/>
                <w:lang w:val="en-US" w:eastAsia="zh-CN"/>
              </w:rPr>
              <w:t>13</w:t>
            </w:r>
            <w:r>
              <w:rPr>
                <w:rFonts w:hint="eastAsia" w:ascii="宋体" w:hAnsi="宋体" w:cs="宋体"/>
                <w:szCs w:val="21"/>
                <w:highlight w:val="none"/>
              </w:rPr>
              <w:t>个，注册慈善公益组织达到</w:t>
            </w:r>
            <w:r>
              <w:rPr>
                <w:rFonts w:hint="eastAsia" w:ascii="宋体" w:hAnsi="宋体" w:cs="宋体"/>
                <w:szCs w:val="21"/>
                <w:highlight w:val="none"/>
                <w:lang w:val="en-US" w:eastAsia="zh-CN"/>
              </w:rPr>
              <w:t>30</w:t>
            </w:r>
            <w:r>
              <w:rPr>
                <w:rFonts w:hint="eastAsia" w:ascii="宋体" w:hAnsi="宋体" w:cs="宋体"/>
                <w:szCs w:val="21"/>
                <w:highlight w:val="none"/>
              </w:rPr>
              <w:t>个</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实现“美好街区”项目的扩容和内涵升级，打造成为更具影响力的互联网慈善公益领域的示范性品牌</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6"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引导爱心机构和人士携手合作打造“公益小镇”，初步形成以慈善公益助力</w:t>
            </w:r>
            <w:r>
              <w:rPr>
                <w:rFonts w:hint="eastAsia" w:ascii="宋体" w:hAnsi="宋体" w:cs="宋体"/>
                <w:szCs w:val="21"/>
                <w:highlight w:val="none"/>
                <w:lang w:eastAsia="zh-CN"/>
              </w:rPr>
              <w:t>西部富美</w:t>
            </w:r>
            <w:r>
              <w:rPr>
                <w:rFonts w:hint="eastAsia" w:ascii="宋体" w:hAnsi="宋体" w:cs="宋体"/>
                <w:szCs w:val="21"/>
                <w:highlight w:val="none"/>
              </w:rPr>
              <w:t>和共同富裕的特色品牌</w:t>
            </w:r>
          </w:p>
        </w:tc>
        <w:tc>
          <w:tcPr>
            <w:tcW w:w="1276" w:type="dxa"/>
            <w:vAlign w:val="center"/>
          </w:tcPr>
          <w:p>
            <w:pPr>
              <w:spacing w:line="72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bookmarkStart w:id="6" w:name="_Hlk81160057"/>
            <w:r>
              <w:rPr>
                <w:rFonts w:hint="eastAsia" w:ascii="宋体" w:hAnsi="宋体" w:cs="宋体"/>
                <w:szCs w:val="21"/>
                <w:highlight w:val="none"/>
              </w:rPr>
              <w:t>试点推出镇街、村社两级“慈善公益指数”，以年度捐赠价值（含物品折算）、志愿服务时间的常住人口平均值，表征慈善公益发展水平，设立镇街、村社两级“慈善优胜奖”</w:t>
            </w:r>
            <w:bookmarkEnd w:id="6"/>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851" w:type="dxa"/>
            <w:vMerge w:val="restart"/>
            <w:vAlign w:val="top"/>
          </w:tcPr>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jc w:val="center"/>
              <w:rPr>
                <w:rFonts w:ascii="宋体" w:hAnsi="宋体" w:cs="宋体"/>
                <w:b/>
                <w:bCs/>
                <w:szCs w:val="21"/>
                <w:highlight w:val="none"/>
              </w:rPr>
            </w:pPr>
          </w:p>
          <w:p>
            <w:pPr>
              <w:spacing w:line="276" w:lineRule="auto"/>
              <w:rPr>
                <w:rFonts w:hint="eastAsia" w:ascii="宋体" w:hAnsi="宋体" w:eastAsia="宋体" w:cs="宋体"/>
                <w:b/>
                <w:bCs/>
                <w:szCs w:val="21"/>
                <w:highlight w:val="none"/>
                <w:lang w:eastAsia="zh-CN"/>
              </w:rPr>
            </w:pPr>
            <w:r>
              <w:rPr>
                <w:rFonts w:hint="eastAsia" w:ascii="宋体" w:hAnsi="宋体" w:cs="宋体"/>
                <w:szCs w:val="21"/>
                <w:highlight w:val="none"/>
                <w:lang w:eastAsia="zh-CN"/>
              </w:rPr>
              <w:t>高水平打造和谐自治标杆区</w:t>
            </w: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规范基层组织建设与权力运行，探索基层民主协商向网格、小区、小组、楼宇延伸，推广“板凳议事”、“民生微实事提案日”等，培育优秀协商议事品牌</w:t>
            </w:r>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增强城乡居民的“家园”意识，培育居民认同感和归属感，增进社区的团结和友善、秩序和活力</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实现“市民客厅”“居民驿站”等城乡社区服务综合体全覆盖，至2025年，社会力量参与运营覆盖率达80%以上</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培育和引导社会组织发展，至2025年，平均每万人拥有注册登记社会组织达到</w:t>
            </w:r>
            <w:r>
              <w:rPr>
                <w:rFonts w:hint="eastAsia" w:ascii="宋体" w:hAnsi="宋体" w:cs="宋体"/>
                <w:szCs w:val="21"/>
                <w:highlight w:val="none"/>
                <w:lang w:val="en-US" w:eastAsia="zh-CN"/>
              </w:rPr>
              <w:t>8</w:t>
            </w:r>
            <w:r>
              <w:rPr>
                <w:rFonts w:hint="eastAsia" w:ascii="宋体" w:hAnsi="宋体" w:cs="宋体"/>
                <w:szCs w:val="21"/>
                <w:highlight w:val="none"/>
              </w:rPr>
              <w:t>个以上</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提升社会组织参与社会治理能力，实施“320计划”，至2025年，培育“领头雁”社会组织20家、社会组织“塔尖”人才20名、标杆式社会组织平台阵地20个</w:t>
            </w:r>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推进社工队伍建设，至2025年，持证社工专业人才规模达到2500人以上，社工持证率达到65%以上</w:t>
            </w:r>
          </w:p>
        </w:tc>
        <w:tc>
          <w:tcPr>
            <w:tcW w:w="1276" w:type="dxa"/>
            <w:vAlign w:val="center"/>
          </w:tcPr>
          <w:p>
            <w:pPr>
              <w:spacing w:line="276"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jc w:val="center"/>
        </w:trPr>
        <w:tc>
          <w:tcPr>
            <w:tcW w:w="851" w:type="dxa"/>
            <w:vMerge w:val="restart"/>
            <w:vAlign w:val="top"/>
          </w:tcPr>
          <w:p>
            <w:pPr>
              <w:spacing w:line="276" w:lineRule="auto"/>
              <w:rPr>
                <w:rFonts w:ascii="宋体" w:hAnsi="宋体" w:cs="宋体"/>
                <w:b/>
                <w:bCs/>
                <w:szCs w:val="21"/>
                <w:highlight w:val="none"/>
              </w:rPr>
            </w:pPr>
          </w:p>
          <w:p>
            <w:pPr>
              <w:spacing w:line="276" w:lineRule="auto"/>
              <w:rPr>
                <w:rFonts w:hint="eastAsia" w:ascii="宋体" w:hAnsi="宋体" w:eastAsia="宋体" w:cs="宋体"/>
                <w:b/>
                <w:bCs/>
                <w:szCs w:val="21"/>
                <w:highlight w:val="none"/>
                <w:lang w:eastAsia="zh-CN"/>
              </w:rPr>
            </w:pPr>
            <w:r>
              <w:rPr>
                <w:rFonts w:hint="eastAsia" w:ascii="宋体" w:hAnsi="宋体" w:cs="宋体"/>
                <w:szCs w:val="21"/>
                <w:highlight w:val="none"/>
                <w:lang w:eastAsia="zh-CN"/>
              </w:rPr>
              <w:t>高水平打造暖心服务标杆区</w:t>
            </w: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全面推进安葬方式由“入土”向“入室”转变，骨灰存放室行政村覆盖率达100%</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除在建项目交付使用外，新增建设良渚、瓶窑、中泰、鸬鸟、黄湖、百丈、仁和等容量约21万格的骨灰存放室</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预期性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2" w:hRule="atLeast"/>
          <w:jc w:val="center"/>
        </w:trPr>
        <w:tc>
          <w:tcPr>
            <w:tcW w:w="851" w:type="dxa"/>
            <w:vMerge w:val="continue"/>
            <w:vAlign w:val="top"/>
          </w:tcPr>
          <w:p>
            <w:pPr>
              <w:spacing w:line="276" w:lineRule="auto"/>
              <w:rPr>
                <w:rFonts w:ascii="宋体" w:hAnsi="宋体" w:cs="宋体"/>
                <w:b/>
                <w:bCs/>
                <w:szCs w:val="21"/>
                <w:highlight w:val="none"/>
              </w:rPr>
            </w:pPr>
          </w:p>
        </w:tc>
        <w:tc>
          <w:tcPr>
            <w:tcW w:w="6237" w:type="dxa"/>
            <w:vAlign w:val="top"/>
          </w:tcPr>
          <w:p>
            <w:pPr>
              <w:spacing w:line="276" w:lineRule="auto"/>
              <w:rPr>
                <w:rFonts w:ascii="宋体" w:hAnsi="宋体" w:cs="宋体"/>
                <w:szCs w:val="21"/>
                <w:highlight w:val="none"/>
              </w:rPr>
            </w:pPr>
            <w:r>
              <w:rPr>
                <w:rFonts w:hint="eastAsia" w:ascii="宋体" w:hAnsi="宋体" w:cs="宋体"/>
                <w:szCs w:val="21"/>
                <w:highlight w:val="none"/>
              </w:rPr>
              <w:t>全面落实水库移民后期扶持政策，保障移民资金足额投入，切实推进美丽家园、创业致富等移民扶持项目建设</w:t>
            </w:r>
          </w:p>
        </w:tc>
        <w:tc>
          <w:tcPr>
            <w:tcW w:w="1276" w:type="dxa"/>
            <w:vAlign w:val="center"/>
          </w:tcPr>
          <w:p>
            <w:pPr>
              <w:spacing w:line="480" w:lineRule="auto"/>
              <w:jc w:val="left"/>
              <w:rPr>
                <w:rFonts w:ascii="宋体" w:hAnsi="宋体" w:cs="宋体"/>
                <w:szCs w:val="21"/>
                <w:highlight w:val="none"/>
              </w:rPr>
            </w:pPr>
            <w:r>
              <w:rPr>
                <w:rFonts w:hint="eastAsia" w:ascii="宋体" w:hAnsi="宋体" w:cs="宋体"/>
                <w:szCs w:val="21"/>
                <w:highlight w:val="none"/>
              </w:rPr>
              <w:t xml:space="preserve">  约束性</w:t>
            </w:r>
          </w:p>
        </w:tc>
      </w:tr>
    </w:tbl>
    <w:p>
      <w:pPr>
        <w:pStyle w:val="2"/>
        <w:spacing w:line="600" w:lineRule="exact"/>
        <w:ind w:firstLine="640" w:firstLineChars="200"/>
        <w:rPr>
          <w:rFonts w:ascii="黑体" w:eastAsia="黑体"/>
          <w:b w:val="0"/>
          <w:sz w:val="32"/>
          <w:szCs w:val="32"/>
          <w:highlight w:val="none"/>
        </w:rPr>
      </w:pPr>
      <w:r>
        <w:rPr>
          <w:rFonts w:hint="eastAsia" w:ascii="黑体" w:eastAsia="黑体"/>
          <w:b w:val="0"/>
          <w:sz w:val="32"/>
          <w:szCs w:val="32"/>
          <w:highlight w:val="none"/>
        </w:rPr>
        <w:t>三．主要任务</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（一）高水平打造精准保障标杆区</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深化完善“1+8+X”大救助体系</w:t>
      </w:r>
      <w:r>
        <w:rPr>
          <w:rFonts w:hint="eastAsia" w:ascii="仿宋_GB2312" w:hAnsi="仿宋_GB2312" w:eastAsia="仿宋_GB2312" w:cs="仿宋_GB2312"/>
          <w:sz w:val="32"/>
          <w:szCs w:val="32"/>
          <w:highlight w:val="none"/>
        </w:rPr>
        <w:t xml:space="preserve"> 健全党委领导、政府负责、民政牵头、部门协同、社会参与的工作机制，以全省大救助信息平台为依托，整合推进以低保、特困、受灾、医疗、教育、住房、就业、临时救助等8项基本救助为重点，以社会力量多元参与为补充的“1+8+X”社会大救助体系建设，全面织牢织密“兜底+共享”民生保障网。实现救助信息掌握充分及时、供需服务精准对接、救助事项协同办理、救助资源统筹使用、救助绩效统一评估；建立救助对象诚信申报承诺和失信惩戒机制。全面推广社会救助“一件事”惠民联办，拓展社会力量参与救助服务的领域和途径。为低收入家庭和相对贫困群体增权赋能，帮助他们提升获取资源、机会和收入的能力，早日告别相对贫困状态、迈上共同富裕之路。</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分层分类实现精准救助保障</w:t>
      </w:r>
      <w:r>
        <w:rPr>
          <w:rFonts w:hint="eastAsia" w:ascii="仿宋_GB2312" w:hAnsi="仿宋_GB2312" w:eastAsia="仿宋_GB2312" w:cs="仿宋_GB2312"/>
          <w:sz w:val="32"/>
          <w:szCs w:val="32"/>
          <w:highlight w:val="none"/>
        </w:rPr>
        <w:t xml:space="preserve"> 全面落实低保、低边、特困人员等基本生活救助，实行应保尽保、应救尽救，救助需求与服务供给精准对接。扩大急难救助覆盖面，及时将受疫情影响生活困难人员纳入救助范围，加强急难救助快速响应，确保意外遭遇突发性急难困境的家庭或人员能得到先行救助。开展支出型贫困救助，实行低保低边家庭一年渐退期、重残重病患者单独列户纳入低保，守住社会救助“三个不让”兜底功能。实行困难家庭申请、年审复核、退出制度，优化救助服务流程。探索将非本地户籍常住人口纳入基本社会救助保障范围，除提供临时救助或急难救助外，条件成熟时逐步开放就业救助、教育救助、医疗救助等。</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打造多元化社会救助共同体</w:t>
      </w:r>
      <w:r>
        <w:rPr>
          <w:rFonts w:hint="eastAsia" w:ascii="仿宋_GB2312" w:hAnsi="仿宋_GB2312" w:eastAsia="仿宋_GB2312" w:cs="仿宋_GB2312"/>
          <w:sz w:val="32"/>
          <w:szCs w:val="32"/>
          <w:highlight w:val="none"/>
        </w:rPr>
        <w:t xml:space="preserve"> 鼓励和引导社会力量参与社会救助，拓宽人力、物力、财力等各类社会救助资源供给渠道，推动社会救助向“物质+服务”方式转变。建立区、镇街、村社三级救助服务对接平台，镇街每500名社会救助对象配备1名救助经办人员，救助对象1000人以上的适当增加购买服务人员，形成信息共享、资源统筹、供需对接的社会救助共同体，实现困难群体家庭探访全覆盖。加强对救助对象的人文关怀和暖心服务，围绕探访照料、精神慰藉、康复护理、心理疏导、能力提升等内容，拓展服务项目，建立长效机制，提升困难群众获得感、幸福感、安全感。</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实现适度普惠型儿童福利保障 </w:t>
      </w:r>
      <w:r>
        <w:rPr>
          <w:rFonts w:hint="eastAsia" w:ascii="仿宋_GB2312" w:hAnsi="仿宋_GB2312" w:eastAsia="仿宋_GB2312" w:cs="仿宋_GB2312"/>
          <w:sz w:val="32"/>
          <w:szCs w:val="32"/>
          <w:highlight w:val="none"/>
        </w:rPr>
        <w:t>拓展儿童福利保障覆盖范围，建构适度普惠型的儿童福利保障体系，为儿童创造生活无忧、安全友好的成长环境。全面实现孤弃儿童、困境儿童、困境家庭儿童、困难家庭儿童等的分层分类救助和福利保障，健全基本生活费发放对象及发放标准的动态管理及价格补贴机制。推进农村儿童康复体系建设，探索在卫生服务中心或符合条件的儿童之家建立残疾儿童康复点，通过购买服务的方式，加大残疾儿童的康复力度。完善农村留守儿童福利保障，开展监护指导、心理疏导、行为矫治、社会融入和家庭关系调适等综合服务。推进儿童福利事业数字化转型，提升救助保护和福利保障服务能力。加快儿童保护、福利保障和服务设施建设，至2025年，建成集康复、特教、养育于一体的综合性未成年人救助保护中心，实现镇街级示范型儿童之家全覆盖、村社级基础型儿童之家服务全覆盖。</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（二）高水平打造幸福颐养标杆区</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深化养老助老服务体系建设</w:t>
      </w:r>
      <w:r>
        <w:rPr>
          <w:rFonts w:hint="eastAsia" w:ascii="仿宋_GB2312" w:hAnsi="仿宋_GB2312" w:eastAsia="仿宋_GB2312" w:cs="仿宋_GB2312"/>
          <w:sz w:val="32"/>
          <w:szCs w:val="32"/>
          <w:highlight w:val="none"/>
        </w:rPr>
        <w:t xml:space="preserve"> 加快建成</w:t>
      </w:r>
      <w:bookmarkStart w:id="7" w:name="_Hlk54535808"/>
      <w:r>
        <w:rPr>
          <w:rFonts w:hint="eastAsia" w:ascii="仿宋_GB2312" w:hAnsi="仿宋_GB2312" w:eastAsia="仿宋_GB2312" w:cs="仿宋_GB2312"/>
          <w:sz w:val="32"/>
          <w:szCs w:val="32"/>
          <w:highlight w:val="none"/>
        </w:rPr>
        <w:t>以居家为基础、社区为依托、机构为补充、医养相结合的</w:t>
      </w:r>
      <w:bookmarkEnd w:id="7"/>
      <w:r>
        <w:rPr>
          <w:rFonts w:hint="eastAsia" w:ascii="仿宋_GB2312" w:hAnsi="仿宋_GB2312" w:eastAsia="仿宋_GB2312" w:cs="仿宋_GB2312"/>
          <w:sz w:val="32"/>
          <w:szCs w:val="32"/>
          <w:highlight w:val="none"/>
        </w:rPr>
        <w:t>立体型养老服务体系，有效满足老年人多样化、多层次养老服务需求。完善“1+12+N”的居家养老服务网络，实现服务设施、服务网络、服务能力全覆盖，加快建成“1</w:t>
      </w:r>
      <w:r>
        <w:rPr>
          <w:rFonts w:ascii="仿宋_GB2312" w:hAnsi="仿宋_GB2312" w:eastAsia="仿宋_GB2312" w:cs="仿宋_GB2312"/>
          <w:sz w:val="32"/>
          <w:szCs w:val="32"/>
          <w:highlight w:val="none"/>
        </w:rPr>
        <w:t>5</w:t>
      </w:r>
      <w:r>
        <w:rPr>
          <w:rFonts w:hint="eastAsia" w:ascii="仿宋_GB2312" w:hAnsi="仿宋_GB2312" w:eastAsia="仿宋_GB2312" w:cs="仿宋_GB2312"/>
          <w:sz w:val="32"/>
          <w:szCs w:val="32"/>
          <w:highlight w:val="none"/>
        </w:rPr>
        <w:t>分钟居家养老服务圈”。探索社区嵌入式养老模式，出台《城乡社区居家养老服务监督管理办法》，规范居家养老服务（照料）中心运营，提高资源效率和服务质量。规范专业养老机构管理，健全以“信用+监管”为核心的新型市场监管机制，培育多元开放、竞争有序的养老服务业市场体系，引导养老服务机构社会化、规模化、连锁化、品牌化发展。</w:t>
      </w:r>
      <w:r>
        <w:rPr>
          <w:rFonts w:hint="eastAsia" w:ascii="仿宋_GB2312" w:hAnsi="仿宋_GB2312" w:eastAsia="仿宋_GB2312" w:cs="仿宋_GB2312"/>
          <w:sz w:val="32"/>
          <w:szCs w:val="32"/>
          <w:highlight w:val="none"/>
          <w:lang w:eastAsia="zh-CN"/>
        </w:rPr>
        <w:t>建立“余小养”养老管家机制，依托企业、社会组织、志愿者等多元力量，全方位构建社会志愿服务协同体系。</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推进居家养老服务设施建设</w:t>
      </w:r>
      <w:r>
        <w:rPr>
          <w:rFonts w:hint="eastAsia" w:ascii="仿宋_GB2312" w:hAnsi="仿宋_GB2312" w:eastAsia="仿宋_GB2312" w:cs="仿宋_GB2312"/>
          <w:sz w:val="32"/>
          <w:szCs w:val="32"/>
          <w:highlight w:val="none"/>
        </w:rPr>
        <w:t xml:space="preserve"> 严格执行新建住宅设施养老服务配建标准，拓宽已建住宅配建供给渠道，结合老旧小区改造、国有集体房产资源盘活等，分层分类推动居家养老服务设施建设。探索推进区域性养老服务综合体建设，把养老、托老、助老、医疗、康复护理、文体娱乐等公共资源整合到同一个物理空间，让周边群众“只跑一地”即可享受“一站式”服务。补齐农村养老服务设施基础薄弱短板，加快推进公办养老机构改革，对现有农村五保供养服务中心进行改造升级，支持规模化、连锁化、品牌化发展，提升护理型床位占比，居家社区机构养老服务更加紧密，综合照护能力显著增强，统筹推进老年人家庭适老化改造更加普及，家庭养老照护床位数量显著增加。</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加强养老服务人才队伍建设</w:t>
      </w:r>
      <w:r>
        <w:rPr>
          <w:rFonts w:hint="eastAsia" w:ascii="仿宋_GB2312" w:hAnsi="仿宋_GB2312" w:eastAsia="仿宋_GB2312" w:cs="仿宋_GB2312"/>
          <w:sz w:val="32"/>
          <w:szCs w:val="32"/>
          <w:highlight w:val="none"/>
        </w:rPr>
        <w:t xml:space="preserve"> 以队伍建设为抓手，切实推进养老服务质效提升，建立养老服务人才培训基地，实现系统化的专业素质教育和职业技能培训，打造一支高质量的养老助老服务人才队伍。加强养老护理员队伍建设，至2</w:t>
      </w:r>
      <w:r>
        <w:rPr>
          <w:rFonts w:ascii="仿宋_GB2312" w:hAnsi="仿宋_GB2312" w:eastAsia="仿宋_GB2312" w:cs="仿宋_GB2312"/>
          <w:sz w:val="32"/>
          <w:szCs w:val="32"/>
          <w:highlight w:val="none"/>
        </w:rPr>
        <w:t>025</w:t>
      </w:r>
      <w:r>
        <w:rPr>
          <w:rFonts w:hint="eastAsia" w:ascii="仿宋_GB2312" w:hAnsi="仿宋_GB2312" w:eastAsia="仿宋_GB2312" w:cs="仿宋_GB2312"/>
          <w:sz w:val="32"/>
          <w:szCs w:val="32"/>
          <w:highlight w:val="none"/>
        </w:rPr>
        <w:t>年，每万老年人口拥有持证养老护理员达到3</w:t>
      </w:r>
      <w:r>
        <w:rPr>
          <w:rFonts w:ascii="仿宋_GB2312" w:hAnsi="仿宋_GB2312" w:eastAsia="仿宋_GB2312" w:cs="仿宋_GB2312"/>
          <w:sz w:val="32"/>
          <w:szCs w:val="32"/>
          <w:highlight w:val="none"/>
        </w:rPr>
        <w:t>0</w:t>
      </w:r>
      <w:r>
        <w:rPr>
          <w:rFonts w:hint="eastAsia" w:ascii="仿宋_GB2312" w:hAnsi="仿宋_GB2312" w:eastAsia="仿宋_GB2312" w:cs="仿宋_GB2312"/>
          <w:sz w:val="32"/>
          <w:szCs w:val="32"/>
          <w:highlight w:val="none"/>
        </w:rPr>
        <w:t>人，实施养老服务从业人员培训教育制度，从业人员技能提升率达到50%以上，新进人员岗前培训率达100%。依托镇街级居家养老服务中心，为有需求的家庭提供培训支持，提升家庭照护人员的专业照护水平。</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实现养老服务数字化转型</w:t>
      </w:r>
      <w:r>
        <w:rPr>
          <w:rFonts w:hint="eastAsia" w:ascii="仿宋_GB2312" w:hAnsi="仿宋_GB2312" w:eastAsia="仿宋_GB2312" w:cs="仿宋_GB2312"/>
          <w:sz w:val="32"/>
          <w:szCs w:val="32"/>
          <w:highlight w:val="none"/>
        </w:rPr>
        <w:t xml:space="preserve"> 以老年人需求为导向，以智慧养老系统平台为支撑，整合线下线上服务资源，强化信息共享、供需对接，完善多层次助餐模式服务场景，通过卡码脸纹等结算形式，打破区域就餐壁垒，实现全域化就餐，进一步方便老年人就近就便享受就餐服务。打造送医入户服务场景，解决山区农村老年人就医不便难题；推进居家安全服务场景，解决孤寡独居老人居家安全难题；深化邻里互助服务场景，推动和谐邻里和谐社会关系。通过数字赋能，进一步加强个性化供需对接和多方联动服务，提升养老助老服务的精细化和精准度。充分运用智能网络技术</w:t>
      </w:r>
      <w:r>
        <w:rPr>
          <w:rFonts w:hint="eastAsia" w:ascii="仿宋_GB2312" w:hAnsi="仿宋_GB2312" w:eastAsia="仿宋_GB2312" w:cs="仿宋_GB2312"/>
          <w:sz w:val="32"/>
          <w:szCs w:val="32"/>
          <w:highlight w:val="none"/>
          <w:lang w:eastAsia="zh-CN"/>
        </w:rPr>
        <w:t>，全方位打造适老化智慧养老小区。</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（三）高水平打造人人慈善标杆区</w:t>
      </w:r>
    </w:p>
    <w:p>
      <w:pPr>
        <w:ind w:firstLine="643"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t>建构现代化慈善公益体系</w:t>
      </w:r>
      <w:r>
        <w:rPr>
          <w:rFonts w:hint="eastAsia" w:ascii="仿宋_GB2312" w:hAnsi="仿宋_GB2312" w:eastAsia="仿宋_GB2312" w:cs="仿宋_GB2312"/>
          <w:color w:val="000000"/>
          <w:sz w:val="32"/>
          <w:szCs w:val="32"/>
          <w:highlight w:val="none"/>
        </w:rPr>
        <w:t xml:space="preserve"> 健全政府推动、机构运作、社会各界广泛参与的现代慈善-公益事业发展机制，爱心捐赠与志愿服务并重、无偿公益与有偿公益并重、动员式募捐与项目化募捐并重，鼓励异质化、多元化发展，扶持公益创投、网络众筹、慈善信托、公益拍卖、社区微创投等现代新型公益模式。试点推出镇街、村社两级“慈善公益指数”，以年度捐赠价值（含物品折算）、志愿服务时间的常住人口平均值，表征各镇街及村社的慈善公益发展水平。加快发展扶贫赈灾、扶老助残、助医助学等民生领域的慈善-公益组织，探索建立公益性社区发展基金会，</w:t>
      </w:r>
      <w:r>
        <w:rPr>
          <w:rFonts w:hint="eastAsia" w:ascii="仿宋_GB2312" w:hAnsi="仿宋_GB2312" w:eastAsia="仿宋_GB2312" w:cs="仿宋_GB2312"/>
          <w:sz w:val="32"/>
          <w:szCs w:val="32"/>
          <w:highlight w:val="none"/>
        </w:rPr>
        <w:t>培育基层社区慈善组织和民间“草根慈善”，实行慈善组织直接登记，至2025年，公益性社区基金会达到</w:t>
      </w:r>
      <w:r>
        <w:rPr>
          <w:rFonts w:hint="eastAsia" w:ascii="仿宋_GB2312" w:hAnsi="仿宋_GB2312" w:eastAsia="仿宋_GB2312" w:cs="仿宋_GB2312"/>
          <w:sz w:val="32"/>
          <w:szCs w:val="32"/>
          <w:highlight w:val="none"/>
          <w:lang w:val="en-US" w:eastAsia="zh-CN"/>
        </w:rPr>
        <w:t>13</w:t>
      </w:r>
      <w:r>
        <w:rPr>
          <w:rFonts w:hint="eastAsia" w:ascii="仿宋_GB2312" w:hAnsi="仿宋_GB2312" w:eastAsia="仿宋_GB2312" w:cs="仿宋_GB2312"/>
          <w:sz w:val="32"/>
          <w:szCs w:val="32"/>
          <w:highlight w:val="none"/>
        </w:rPr>
        <w:t>个，实现社区基金会全覆盖，注册慈善公益组织达到</w:t>
      </w:r>
      <w:r>
        <w:rPr>
          <w:rFonts w:hint="eastAsia" w:ascii="仿宋_GB2312" w:hAnsi="仿宋_GB2312" w:eastAsia="仿宋_GB2312" w:cs="仿宋_GB2312"/>
          <w:sz w:val="32"/>
          <w:szCs w:val="32"/>
          <w:highlight w:val="none"/>
          <w:lang w:val="en-US" w:eastAsia="zh-CN"/>
        </w:rPr>
        <w:t>30</w:t>
      </w:r>
      <w:r>
        <w:rPr>
          <w:rFonts w:hint="eastAsia" w:ascii="仿宋_GB2312" w:hAnsi="仿宋_GB2312" w:eastAsia="仿宋_GB2312" w:cs="仿宋_GB2312"/>
          <w:sz w:val="32"/>
          <w:szCs w:val="32"/>
          <w:highlight w:val="none"/>
        </w:rPr>
        <w:t>个。</w:t>
      </w:r>
      <w:r>
        <w:rPr>
          <w:rFonts w:hint="eastAsia" w:ascii="仿宋_GB2312" w:hAnsi="仿宋_GB2312" w:eastAsia="仿宋_GB2312" w:cs="仿宋_GB2312"/>
          <w:color w:val="000000"/>
          <w:sz w:val="32"/>
          <w:szCs w:val="32"/>
          <w:highlight w:val="none"/>
        </w:rPr>
        <w:t>鼓励慈善组织或个人依托社区服务站、现有商业网点等，开设慈善超市或公益服务点，引导慈善-公益服务向及村社基层延伸，形成覆盖城乡、布局合理的慈善-公益事业发展新格局。</w:t>
      </w:r>
    </w:p>
    <w:p>
      <w:pPr>
        <w:ind w:firstLine="643" w:firstLineChars="200"/>
        <w:rPr>
          <w:rFonts w:ascii="仿宋_GB2312" w:hAnsi="仿宋_GB2312" w:eastAsia="仿宋_GB2312" w:cs="仿宋_GB2312"/>
          <w:color w:val="000000"/>
          <w:sz w:val="32"/>
          <w:szCs w:val="32"/>
          <w:highlight w:val="none"/>
        </w:rPr>
      </w:pPr>
      <w:bookmarkStart w:id="8" w:name="_Hlk74755505"/>
      <w:r>
        <w:rPr>
          <w:rFonts w:hint="eastAsia" w:ascii="仿宋_GB2312" w:hAnsi="仿宋_GB2312" w:eastAsia="仿宋_GB2312" w:cs="仿宋_GB2312"/>
          <w:b/>
          <w:bCs/>
          <w:color w:val="000000"/>
          <w:sz w:val="32"/>
          <w:szCs w:val="32"/>
          <w:highlight w:val="none"/>
        </w:rPr>
        <w:t>深化“智慧慈善”发展内涵</w:t>
      </w:r>
      <w:bookmarkEnd w:id="8"/>
      <w:r>
        <w:rPr>
          <w:rFonts w:hint="eastAsia" w:ascii="仿宋_GB2312" w:hAnsi="仿宋_GB2312" w:eastAsia="仿宋_GB2312" w:cs="仿宋_GB2312"/>
          <w:b/>
          <w:bCs/>
          <w:color w:val="000000"/>
          <w:sz w:val="32"/>
          <w:szCs w:val="32"/>
          <w:highlight w:val="none"/>
        </w:rPr>
        <w:t xml:space="preserve"> </w:t>
      </w:r>
      <w:r>
        <w:rPr>
          <w:rFonts w:hint="eastAsia" w:ascii="仿宋_GB2312" w:hAnsi="仿宋_GB2312" w:eastAsia="仿宋_GB2312" w:cs="仿宋_GB2312"/>
          <w:color w:val="000000"/>
          <w:sz w:val="32"/>
          <w:szCs w:val="32"/>
          <w:highlight w:val="none"/>
        </w:rPr>
        <w:t>借助互联网便捷性高、普及面大、参与性强等优势，深化“智慧慈善（公益）”发展内涵，包括线上慈善捐助、结对帮扶、公益售卖、资源募集、项目运营等，加快推进慈善-公益事业线下线上融合发展。依托大数据、区块链等技术，搭建智慧化“公益大脑”，创新监管模式，丰富应用场景，激励参与热情，实现信息汇总分析、供需精准对接、资源高效配置，为数字赋能慈善公益 “一件事”改革提供余杭样本。</w:t>
      </w:r>
    </w:p>
    <w:p>
      <w:pPr>
        <w:ind w:firstLine="643"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t>推进慈善公益项目品牌化发展</w:t>
      </w:r>
      <w:r>
        <w:rPr>
          <w:rFonts w:hint="eastAsia" w:ascii="仿宋_GB2312" w:hAnsi="仿宋_GB2312" w:eastAsia="仿宋_GB2312" w:cs="仿宋_GB2312"/>
          <w:color w:val="000000"/>
          <w:sz w:val="32"/>
          <w:szCs w:val="32"/>
          <w:highlight w:val="none"/>
        </w:rPr>
        <w:t xml:space="preserve"> 结合我区现有基础、特色和优势，推进慈善公益项目品牌化发展。“十四五”期间，以省级示范性慈善基地建设为依托，引导社会各界以信托方式参与慈善公益事业，设立以扶贫济困、扶老助弱、助医助学、应急救助等为目的的慈善信托项目，打造慈善信托领域的余杭特色和品牌。倡导“企业向善、商家向善、百姓向善、美好空间、美好治理”的慈善共同体理念，实现</w:t>
      </w:r>
      <w:bookmarkStart w:id="9" w:name="_Hlk74764189"/>
      <w:r>
        <w:rPr>
          <w:rFonts w:hint="eastAsia" w:ascii="仿宋_GB2312" w:hAnsi="仿宋_GB2312" w:eastAsia="仿宋_GB2312" w:cs="仿宋_GB2312"/>
          <w:color w:val="000000"/>
          <w:sz w:val="32"/>
          <w:szCs w:val="32"/>
          <w:highlight w:val="none"/>
        </w:rPr>
        <w:t>“美好街区”</w:t>
      </w:r>
      <w:bookmarkEnd w:id="9"/>
      <w:r>
        <w:rPr>
          <w:rFonts w:hint="eastAsia" w:ascii="仿宋_GB2312" w:hAnsi="仿宋_GB2312" w:eastAsia="仿宋_GB2312" w:cs="仿宋_GB2312"/>
          <w:color w:val="000000"/>
          <w:sz w:val="32"/>
          <w:szCs w:val="32"/>
          <w:highlight w:val="none"/>
        </w:rPr>
        <w:t>项目的扩容和内涵升级，将其打造成更具影响力的互联网慈善公益领域的示范性品牌。引导爱心机构和爱心人士携手西部山区，以公益捐助、文旅扶持、环保服务、志愿服务等形式，合作打造“公益小镇”，初步形成以慈善公益助力乡村振兴和共同富裕的特色品牌。</w:t>
      </w:r>
    </w:p>
    <w:p>
      <w:pPr>
        <w:ind w:firstLine="643" w:firstLineChars="200"/>
        <w:rPr>
          <w:rFonts w:ascii="仿宋_GB2312" w:hAnsi="仿宋_GB2312" w:eastAsia="仿宋_GB2312" w:cs="仿宋_GB2312"/>
          <w:color w:val="000000"/>
          <w:sz w:val="32"/>
          <w:szCs w:val="32"/>
          <w:highlight w:val="none"/>
        </w:rPr>
      </w:pPr>
      <w:r>
        <w:rPr>
          <w:rFonts w:hint="eastAsia" w:ascii="仿宋_GB2312" w:hAnsi="仿宋_GB2312" w:eastAsia="仿宋_GB2312" w:cs="仿宋_GB2312"/>
          <w:b/>
          <w:bCs/>
          <w:color w:val="000000"/>
          <w:sz w:val="32"/>
          <w:szCs w:val="32"/>
          <w:highlight w:val="none"/>
        </w:rPr>
        <w:t xml:space="preserve">培育人人重善行的公益精神 </w:t>
      </w:r>
      <w:r>
        <w:rPr>
          <w:rFonts w:hint="eastAsia" w:ascii="仿宋_GB2312" w:hAnsi="仿宋_GB2312" w:eastAsia="仿宋_GB2312" w:cs="仿宋_GB2312"/>
          <w:color w:val="000000"/>
          <w:sz w:val="32"/>
          <w:szCs w:val="32"/>
          <w:highlight w:val="none"/>
        </w:rPr>
        <w:t>完善区、镇街两级综合评估体系，表彰奖励为慈善公益事业做出突出贡献的集体和个人。弘扬现代慈善文化，鼓励和引导各级各类社会机构、家庭和个人，积极参与慈善公益活动，培育全社会“重善行”的慈善风尚和公益精神。推进城乡志愿者队伍建设和志愿服务品牌化，健全“社工+志愿者”、“社会组织+志愿服务”等联动机制，实现志愿服务提质增效。至2025年，实现年度慈善公益捐赠额增长率高于同期城乡居民可支配收入增长率，登记志愿者人数达到常住人口的25%。</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（四）高水平打造和谐自治标杆区</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完善基层社会治理机制</w:t>
      </w:r>
      <w:r>
        <w:rPr>
          <w:rFonts w:hint="eastAsia" w:ascii="仿宋_GB2312" w:hAnsi="仿宋_GB2312" w:eastAsia="仿宋_GB2312" w:cs="仿宋_GB2312"/>
          <w:sz w:val="32"/>
          <w:szCs w:val="32"/>
          <w:highlight w:val="none"/>
        </w:rPr>
        <w:t xml:space="preserve"> 完善“党建引领”、“四治融合”、“三社联动”等机制，构筑“共建共治共享”基层社会治理体系。全力做好村社换届选举“后半篇”文章，规范基层组织建设与基层权力运行，深化村社事务准入制度，推行小微权力清单，严格落实村级重大事项决策“五议两公开”制度。稳步推进村社规模调整，合理确定基层自治组织管辖范围和规模。深入挖掘“众人的事情由众人商量”的实践内涵，加强经验总结和理论研讨（如举办“小古城论坛”等），进一步提升“两众理论”在基层治理领域的影响力。探索“社-企合作治理”新模式，为在地企业创造良好社区环境，增强企业及其员工的社区参与度和归属感，实现社区与企业的互利双赢和共建共治共享。深化“一会双推三延”民主协商议事机制，探索基层民主协商向网格、小区、小组、楼宇延伸，培育基层优秀“微治理”品牌。以党建引领小区治理，完善社区居委会、业委会、物业公司三方协同联动的工作机制建设，加强对业主大会、业委会、物业公司的指导和监督。推动村规民约居民公约的修订、宣传，引导“两约”在多领域、多层面助力基层治理。培育城乡居民的认同感和“家园”意识，增进社区共同体的团结和友善、秩序和活力。</w:t>
      </w:r>
    </w:p>
    <w:p>
      <w:pPr>
        <w:ind w:firstLine="643" w:firstLineChars="200"/>
        <w:rPr>
          <w:rFonts w:ascii="仿宋_GB2312" w:hAnsi="仿宋_GB2312" w:eastAsia="仿宋_GB2312" w:cs="仿宋_GB2312"/>
          <w:color w:val="FF0000"/>
          <w:sz w:val="32"/>
          <w:szCs w:val="32"/>
          <w:highlight w:val="none"/>
        </w:rPr>
      </w:pPr>
      <w:r>
        <w:rPr>
          <w:rFonts w:hint="eastAsia" w:ascii="仿宋_GB2312" w:hAnsi="仿宋_GB2312" w:eastAsia="仿宋_GB2312" w:cs="仿宋_GB2312"/>
          <w:b/>
          <w:bCs/>
          <w:sz w:val="32"/>
          <w:szCs w:val="32"/>
          <w:highlight w:val="none"/>
        </w:rPr>
        <w:t xml:space="preserve">提升基层社区服务能力 </w:t>
      </w:r>
      <w:r>
        <w:rPr>
          <w:rFonts w:hint="eastAsia" w:ascii="仿宋_GB2312" w:hAnsi="仿宋_GB2312" w:eastAsia="仿宋_GB2312" w:cs="仿宋_GB2312"/>
          <w:sz w:val="32"/>
          <w:szCs w:val="32"/>
          <w:highlight w:val="none"/>
        </w:rPr>
        <w:t>保障和完善社区配套设施，优化城乡社区服务设施布局和功能设置，加强社区用房规范化建设和管理，新建社区服务中心配套不少于1000平方米的社区用房。加强阵地建设，推进基层服务平台全覆盖，以“市民客厅”、“居民驿站”两级邻里服务综合体和社会工作站（室）等为抓手，打造融社区公共服务、居民自助互助服务、社区商业服务、社会工作专业服务等多功能于一体的综合性服务中心，完善便民服务网络，提升基层社会服务的专业化和职业化水平，满足群众多样化需求，至2025年，完成</w:t>
      </w:r>
      <w:r>
        <w:rPr>
          <w:rFonts w:hint="eastAsia" w:ascii="仿宋_GB2312" w:hAnsi="仿宋_GB2312" w:eastAsia="仿宋_GB2312" w:cs="仿宋_GB2312"/>
          <w:sz w:val="32"/>
          <w:szCs w:val="32"/>
          <w:highlight w:val="none"/>
          <w:lang w:val="en-US" w:eastAsia="zh-CN"/>
        </w:rPr>
        <w:t>8</w:t>
      </w:r>
      <w:r>
        <w:rPr>
          <w:rFonts w:hint="eastAsia" w:ascii="仿宋_GB2312" w:hAnsi="仿宋_GB2312" w:eastAsia="仿宋_GB2312" w:cs="仿宋_GB2312"/>
          <w:sz w:val="32"/>
          <w:szCs w:val="32"/>
          <w:highlight w:val="none"/>
        </w:rPr>
        <w:t>家市民客厅、</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0家居民驿站建设。实施“村贤领航”计划，鼓励和支持乡贤能人通过承接项目、开展培训等方式参与基层治理和服务；探索社创中心建设，重点扶持农村社会企业发展，培育新型农村基层治理和服务主体，促进实现城乡共同富裕</w:t>
      </w:r>
      <w:bookmarkStart w:id="10" w:name="_Hlk75079626"/>
      <w:r>
        <w:rPr>
          <w:rFonts w:hint="eastAsia" w:ascii="仿宋_GB2312" w:hAnsi="仿宋_GB2312" w:eastAsia="仿宋_GB2312" w:cs="仿宋_GB2312"/>
          <w:sz w:val="32"/>
          <w:szCs w:val="32"/>
          <w:highlight w:val="none"/>
        </w:rPr>
        <w:t>。</w:t>
      </w:r>
    </w:p>
    <w:bookmarkEnd w:id="10"/>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引导社会组织提质增效</w:t>
      </w:r>
      <w:r>
        <w:rPr>
          <w:rFonts w:hint="eastAsia" w:ascii="仿宋_GB2312" w:hAnsi="仿宋_GB2312" w:eastAsia="仿宋_GB2312" w:cs="仿宋_GB2312"/>
          <w:sz w:val="32"/>
          <w:szCs w:val="32"/>
          <w:highlight w:val="none"/>
        </w:rPr>
        <w:t xml:space="preserve"> 优化社会组织培育、登记、监管、年审流程，健全党建工作机制，完善业务主管单位对拟任责任人审核把关制度，实现党组织对社会组织的全面规范引导，确保社会组织保持正确政治方向，有效预防社会组织领域风险，营造社会组织良好发展环境。加大社会组织发展支持力度，落实社会组织专项发展资金，鼓励社会组织承接政府转移职能；健全协同治理机制，引导社会组织在民主协商、平安综治、便民服务、慈善救助等领域发挥更大作用。至2025年，镇街级社会组织服务中心全部实现实体化运营，至少80%达到3A以上评估等级；实施社会组织“320计划”，计划培育“领头雁”社会组织20家、社会组织“塔尖”人才20名、标杆式平台阵地20个；扶持枢纽型社会组织和社区社会组织，打造高质量省市级品牌社会组织，引导全区社会组织发展提质增效。</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推进社区工作队伍建设 </w:t>
      </w:r>
      <w:r>
        <w:rPr>
          <w:rFonts w:hint="eastAsia" w:ascii="仿宋_GB2312" w:hAnsi="仿宋_GB2312" w:eastAsia="仿宋_GB2312" w:cs="仿宋_GB2312"/>
          <w:sz w:val="32"/>
          <w:szCs w:val="32"/>
          <w:highlight w:val="none"/>
        </w:rPr>
        <w:t>深化专职社区工作者队伍建设，优化定编，选优配齐社区工作力量，优化社区工作者管理。进一步充实教育、卫生、司法、工青妇等社会工作领域专业人才，鼓励符合条件人员参加社会工作者职业水平证书考试，至2025年，全区社工持证率达到65%以上。实施素质能力提升计划，鼓励和支持在岗人员参加业务培训或继续教育，造就一支优质优能的基层社区工作者队伍。</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（五）高水平打造暖心服务标杆区</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深化绿色惠民殡葬改革 </w:t>
      </w:r>
      <w:r>
        <w:rPr>
          <w:rFonts w:hint="eastAsia" w:ascii="仿宋_GB2312" w:hAnsi="仿宋_GB2312" w:eastAsia="仿宋_GB2312" w:cs="仿宋_GB2312"/>
          <w:sz w:val="32"/>
          <w:szCs w:val="32"/>
          <w:highlight w:val="none"/>
        </w:rPr>
        <w:t>健全殡葬公共服务体系，落实惠民便民殡葬政策，编制殡葬设施布局专项规划，加快推进大中型城乡公益性骨灰存放室建设，实现安葬方式由“入土”向“入室”转变。除在建项目交付使用外，新增建设中泰街道、瓶窑镇、鸬鸟镇、黄湖镇骨灰存放室，启动良渚街道、仁和街道、百丈镇等骨灰存放室选址论证。推广树葬、草坪葬、花葬等不保留骨灰的安葬方式，实现树葬、骨灰存放等节地生态安葬全覆盖。结合美丽乡村建设，实施公益性墓地生态化提升改造，绘制墓地红线，完善管理职责。规范殡葬服务管理，优化服务项目，提高丧事集中办理比例，推进移风易俗，将文明殡葬、绿色殡葬纳入村规民约、居民公约，培育节俭办丧、文明治丧的良好社会风气。打造“互联网+殡葬服务”，完善殡葬业务智慧平台，开展现场祭扫预约、推进网上绿色祭祀。</w:t>
      </w:r>
    </w:p>
    <w:p>
      <w:pPr>
        <w:ind w:firstLine="643" w:firstLineChars="200"/>
        <w:rPr>
          <w:rFonts w:ascii="仿宋_GB2312" w:hAnsi="仿宋_GB2312" w:eastAsia="仿宋_GB2312" w:cs="仿宋_GB2312"/>
          <w:color w:val="FF0000"/>
          <w:sz w:val="32"/>
          <w:szCs w:val="32"/>
          <w:highlight w:val="none"/>
        </w:rPr>
      </w:pPr>
      <w:r>
        <w:rPr>
          <w:rFonts w:hint="eastAsia" w:ascii="仿宋_GB2312" w:hAnsi="仿宋_GB2312" w:eastAsia="仿宋_GB2312" w:cs="仿宋_GB2312"/>
          <w:b/>
          <w:bCs/>
          <w:sz w:val="32"/>
          <w:szCs w:val="32"/>
          <w:highlight w:val="none"/>
        </w:rPr>
        <w:t>推进幸福美满婚姻家庭建设</w:t>
      </w:r>
      <w:r>
        <w:rPr>
          <w:rFonts w:hint="eastAsia" w:ascii="仿宋_GB2312" w:hAnsi="仿宋_GB2312" w:eastAsia="仿宋_GB2312" w:cs="仿宋_GB2312"/>
          <w:sz w:val="32"/>
          <w:szCs w:val="32"/>
          <w:highlight w:val="none"/>
        </w:rPr>
        <w:t xml:space="preserve"> 大力推进婚姻登记规范化和标准化建设，建成</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A级婚姻登记机关，推进幸福美满婚姻家庭建设，规范婚姻登记流程，优化提升免费颁证服务，突出庄重感、仪式感、浪漫感和时尚感。全面落实“互联网+婚姻服务”，扎实推进结婚生育户口“一件事”联办。持续加强婚姻登记数字化建设，实现婚姻登记精细化、智慧化，按要求认真落实省内通办。持续开展婚姻家庭辅导服务，探索离婚冷静期危机干预有效方法，扎实推进婚俗改革，培育文明节俭婚俗文化，开展婚姻课堂进村社等服务，宣传优良家风家教，营造幸福婚姻、建设美满家庭。</w:t>
      </w:r>
      <w:r>
        <w:rPr>
          <w:rFonts w:hint="eastAsia" w:ascii="仿宋_GB2312" w:hAnsi="仿宋_GB2312" w:eastAsia="仿宋_GB2312" w:cs="仿宋_GB2312"/>
          <w:color w:val="FF0000"/>
          <w:sz w:val="32"/>
          <w:szCs w:val="32"/>
          <w:highlight w:val="none"/>
        </w:rPr>
        <w:t xml:space="preserve"> </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 xml:space="preserve">实施水库移民融入发展行动 </w:t>
      </w:r>
      <w:r>
        <w:rPr>
          <w:rFonts w:hint="eastAsia" w:ascii="仿宋_GB2312" w:hAnsi="仿宋_GB2312" w:eastAsia="仿宋_GB2312" w:cs="仿宋_GB2312"/>
          <w:sz w:val="32"/>
          <w:szCs w:val="32"/>
          <w:highlight w:val="none"/>
        </w:rPr>
        <w:t>全面落实水库移民后期扶持政策，保障移民资金足额投入，切实推进美丽家园、创业致富等移民扶持项目建设。完善“贴息、帮困、培训”政策，鼓励和引导社会力量参与，加大个性化精准帮扶，有效解决移民困难。推动移民实现身份和文化认同，积极主动参与和融入本地社区“共建共治共享”，与本地居民携手发展、共同富裕。</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规范区划地名管理服务</w:t>
      </w:r>
      <w:r>
        <w:rPr>
          <w:rFonts w:hint="eastAsia" w:ascii="仿宋_GB2312" w:hAnsi="仿宋_GB2312" w:eastAsia="仿宋_GB2312" w:cs="仿宋_GB2312"/>
          <w:sz w:val="32"/>
          <w:szCs w:val="32"/>
          <w:highlight w:val="none"/>
        </w:rPr>
        <w:t xml:space="preserve"> 健全行政区划管理制度，形成适应新型城镇化要求的行政区划结构及地名地址管理体系，规范地名管理服务、地名审批程序和地名标志设置，加强对新建建筑物、居住区等地名使用和地名标志设置的把关和验收，从源头上控制不规范地名产生，净化地名使用环境。做好地名普查成果转换，探索撤村建居、村庄合并、社区拆分、区划调整等带来的老地名传承机制，做好地名文化遗产特别是优秀地名文化遗产的宣传保护。优化完善地名地址管理数据库。</w:t>
      </w:r>
    </w:p>
    <w:p>
      <w:pPr>
        <w:ind w:firstLine="643" w:firstLineChars="200"/>
        <w:rPr>
          <w:rFonts w:ascii="仿宋_GB2312" w:hAnsi="仿宋_GB2312" w:eastAsia="仿宋_GB2312" w:cs="仿宋_GB2312"/>
          <w:sz w:val="32"/>
          <w:szCs w:val="32"/>
          <w:highlight w:val="none"/>
        </w:rPr>
      </w:pPr>
      <w:r>
        <w:rPr>
          <w:rFonts w:hint="eastAsia" w:ascii="仿宋_GB2312" w:hAnsi="仿宋_GB2312" w:eastAsia="仿宋_GB2312" w:cs="仿宋_GB2312"/>
          <w:b/>
          <w:bCs/>
          <w:sz w:val="32"/>
          <w:szCs w:val="32"/>
          <w:highlight w:val="none"/>
        </w:rPr>
        <w:t>加强流浪乞讨人员救助管理</w:t>
      </w:r>
      <w:r>
        <w:rPr>
          <w:rFonts w:hint="eastAsia" w:ascii="仿宋_GB2312" w:hAnsi="仿宋_GB2312" w:eastAsia="仿宋_GB2312" w:cs="仿宋_GB2312"/>
          <w:sz w:val="32"/>
          <w:szCs w:val="32"/>
          <w:highlight w:val="none"/>
        </w:rPr>
        <w:t xml:space="preserve"> 扎实做好流浪乞讨人员救助管理工作，与公安、城管、卫健等部门积极协调配合，确保生活无着的流浪乞讨人员及时得到救助。做好极端天气下救助管理工作，深入开展“夏季送清凉”和“冬季送温暖”活动，切实保障流浪乞讨人员生命权益。</w:t>
      </w:r>
    </w:p>
    <w:p>
      <w:pPr>
        <w:pStyle w:val="2"/>
        <w:spacing w:line="600" w:lineRule="exact"/>
        <w:ind w:firstLine="640" w:firstLineChars="200"/>
        <w:rPr>
          <w:rFonts w:ascii="黑体" w:eastAsia="黑体"/>
          <w:b w:val="0"/>
          <w:sz w:val="32"/>
          <w:szCs w:val="32"/>
          <w:highlight w:val="none"/>
        </w:rPr>
      </w:pPr>
      <w:r>
        <w:rPr>
          <w:rFonts w:hint="eastAsia" w:ascii="黑体" w:eastAsia="黑体"/>
          <w:b w:val="0"/>
          <w:sz w:val="32"/>
          <w:szCs w:val="32"/>
          <w:highlight w:val="none"/>
        </w:rPr>
        <w:t>四．保障措施</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（一）加强组织领导</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各级党委政府要高度重视民政事业发展规划，明确民政事业在经济社会发展和现代化建设全局中的兜底性、基础性地位，加强对规划制定和执行过程的组织领导，将其列入重要议事日程，及时研究解决规划执行过程中所遇到的新情况新问题，为实现规划发展目标提供强有力的组织领导保障。</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（二）健全执行机制</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依据民政事业发展规划作为“十四五”重点专项规划的定位，健全政府分管领导挂帅、民政部门牵头、相关职能部门协同、上下层级贯通联动的规划执行机制，为实现规划发展目标提供高效率的机制保障；充分发挥相关科室、村社基层组织的作用，将规划执行情况纳入年度考核评估体系，做好与省市民政部门的衔接沟通，鼓励引导社会力量积极参与，形成推动规划落地的整体合力。</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（三）加大资源投入</w:t>
      </w:r>
    </w:p>
    <w:p>
      <w:pPr>
        <w:ind w:firstLine="640" w:firstLineChars="200"/>
        <w:rPr>
          <w:rFonts w:ascii="仿宋_GB2312" w:hAnsi="仿宋_GB2312" w:eastAsia="仿宋_GB2312" w:cs="仿宋_GB2312"/>
          <w:b/>
          <w:bCs/>
          <w:sz w:val="32"/>
          <w:szCs w:val="32"/>
          <w:highlight w:val="none"/>
        </w:rPr>
      </w:pPr>
      <w:r>
        <w:rPr>
          <w:rFonts w:hint="eastAsia" w:ascii="仿宋_GB2312" w:hAnsi="仿宋_GB2312" w:eastAsia="仿宋_GB2312" w:cs="仿宋_GB2312"/>
          <w:sz w:val="32"/>
          <w:szCs w:val="32"/>
          <w:highlight w:val="none"/>
        </w:rPr>
        <w:t>加大政府财政对民政事业的资源投入，确保民政项目建设经费及时足额到位；扩大民政领域政府购买服务和财政资助项目的范围，推广公益创投和公益服务项目招投标；坚持多渠道筹集民政事业发展经费，探索建立基础性投入政府为主、延展性投入社会为主、政府投入与社会投入双轮驱动的资源投入机制；完善资金管理制度，规范经费使用范围和审核检查程序。</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（四）强化监测评估</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强化规划执行的跟踪监测和检查评估。将五年规划的总体目标和主要任务，逐项分解细化为年度目标和任务，落实到相关部门或镇街，要求拟定年度实施方案，明确具体工作计划和完成时间，对规划执行情况进行分年度分阶段的跟踪监测和检查评估，发现问题及时整改，必要时根据实际情况变化，对部分项目或指标做出调整，确保“十四五”民政事业发展规划目标任务按预期、高质量完成。</w:t>
      </w:r>
    </w:p>
    <w:p>
      <w:pPr>
        <w:pStyle w:val="3"/>
        <w:spacing w:line="600" w:lineRule="exact"/>
        <w:ind w:firstLine="640" w:firstLineChars="200"/>
        <w:rPr>
          <w:rFonts w:ascii="楷体_GB2312" w:eastAsia="楷体_GB2312"/>
          <w:b w:val="0"/>
          <w:highlight w:val="none"/>
        </w:rPr>
      </w:pPr>
      <w:r>
        <w:rPr>
          <w:rFonts w:hint="eastAsia" w:ascii="楷体_GB2312" w:eastAsia="楷体_GB2312"/>
          <w:b w:val="0"/>
          <w:highlight w:val="none"/>
        </w:rPr>
        <w:t>（五）加强队伍建设</w:t>
      </w:r>
    </w:p>
    <w:p>
      <w:pPr>
        <w:ind w:firstLine="640" w:firstLineChars="200"/>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加大民政人才引进、培养、选拔力度，调整优化民政队伍学历、知识、能力结构，提升民政工作的职业荣誉和待遇水平，打造一支德才兼备、务实清廉、亲和慈慧、任劳任怨的民政工作队伍。加强领导机关和科室民政干部队伍建设，提升规划执行的组织领导和管理协调能力；加强社会工作人才队伍建设，在社会救助、养老助老、社区建设、特殊群体服务等领域设置更多社会工作岗位，丰富民政服务内容、提高民政服务质效；加强基层社区民政从业人员的素质教育和专业技能培训，为民政事业发展提供优质的人力资源保障。</w:t>
      </w:r>
    </w:p>
    <w:p>
      <w:pPr>
        <w:rPr>
          <w:rFonts w:ascii="仿宋_GB2312" w:hAnsi="仿宋_GB2312" w:eastAsia="仿宋_GB2312" w:cs="仿宋_GB2312"/>
          <w:b/>
          <w:bCs/>
          <w:color w:val="4472C4"/>
          <w:sz w:val="32"/>
          <w:szCs w:val="32"/>
          <w:highlight w:val="none"/>
        </w:rPr>
      </w:pPr>
      <w:bookmarkStart w:id="11" w:name="_Hlk53059703"/>
      <w:r>
        <w:rPr>
          <w:rFonts w:hint="eastAsia" w:ascii="仿宋_GB2312" w:hAnsi="仿宋_GB2312" w:eastAsia="仿宋_GB2312" w:cs="仿宋_GB2312"/>
          <w:b/>
          <w:bCs/>
          <w:color w:val="4472C4"/>
          <w:sz w:val="32"/>
          <w:szCs w:val="32"/>
          <w:highlight w:val="none"/>
        </w:rPr>
        <w:t xml:space="preserve">                             </w:t>
      </w:r>
    </w:p>
    <w:p>
      <w:pPr>
        <w:widowControl w:val="0"/>
        <w:wordWrap/>
        <w:adjustRightInd/>
        <w:snapToGrid/>
        <w:spacing w:line="240" w:lineRule="auto"/>
        <w:ind w:left="0" w:leftChars="0" w:right="0" w:firstLine="640" w:firstLineChars="200"/>
        <w:jc w:val="both"/>
        <w:textAlignment w:val="auto"/>
        <w:outlineLvl w:val="9"/>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highlight w:val="none"/>
          <w:lang w:eastAsia="zh-CN"/>
        </w:rPr>
        <w:t>附件：十四五”时期民政事业发展项目表</w:t>
      </w: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pPr>
    </w:p>
    <w:p>
      <w:pPr>
        <w:jc w:val="both"/>
        <w:rPr>
          <w:rFonts w:hint="eastAsia" w:ascii="仿宋_GB2312" w:hAnsi="仿宋_GB2312" w:eastAsia="仿宋_GB2312" w:cs="仿宋_GB2312"/>
          <w:sz w:val="32"/>
          <w:szCs w:val="32"/>
          <w:highlight w:val="none"/>
          <w:lang w:eastAsia="zh-CN"/>
        </w:rPr>
        <w:sectPr>
          <w:footerReference r:id="rId7" w:type="default"/>
          <w:pgSz w:w="11906" w:h="16838"/>
          <w:pgMar w:top="1440" w:right="1800" w:bottom="1440" w:left="1800" w:header="851" w:footer="992" w:gutter="0"/>
          <w:pgNumType w:fmt="numberInDash"/>
          <w:cols w:space="720" w:num="1"/>
          <w:docGrid w:type="lines" w:linePitch="312" w:charSpace="0"/>
        </w:sectPr>
      </w:pPr>
    </w:p>
    <w:p>
      <w:pPr>
        <w:jc w:val="both"/>
        <w:rPr>
          <w:rFonts w:hint="eastAsia"/>
          <w:b/>
          <w:bCs/>
          <w:sz w:val="28"/>
          <w:szCs w:val="32"/>
          <w:lang w:eastAsia="zh-CN"/>
        </w:rPr>
      </w:pPr>
      <w:r>
        <w:rPr>
          <w:rFonts w:hint="eastAsia"/>
          <w:b/>
          <w:bCs/>
          <w:sz w:val="28"/>
          <w:szCs w:val="32"/>
          <w:lang w:eastAsia="zh-CN"/>
        </w:rPr>
        <w:t>附件：</w:t>
      </w:r>
    </w:p>
    <w:p>
      <w:pPr>
        <w:jc w:val="center"/>
        <w:rPr>
          <w:rFonts w:hint="eastAsia" w:ascii="方正小标宋_GBK" w:hAnsi="方正小标宋_GBK" w:eastAsia="方正小标宋_GBK" w:cs="方正小标宋_GBK"/>
          <w:b w:val="0"/>
          <w:bCs w:val="0"/>
          <w:sz w:val="36"/>
          <w:szCs w:val="36"/>
        </w:rPr>
      </w:pPr>
      <w:r>
        <w:rPr>
          <w:rFonts w:hint="eastAsia" w:ascii="方正小标宋_GBK" w:hAnsi="方正小标宋_GBK" w:eastAsia="方正小标宋_GBK" w:cs="方正小标宋_GBK"/>
          <w:b w:val="0"/>
          <w:bCs w:val="0"/>
          <w:sz w:val="36"/>
          <w:szCs w:val="36"/>
        </w:rPr>
        <w:t>十四五”时期民政事业发展项目表</w:t>
      </w:r>
    </w:p>
    <w:tbl>
      <w:tblPr>
        <w:tblStyle w:val="16"/>
        <w:tblW w:w="140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9"/>
        <w:gridCol w:w="2766"/>
        <w:gridCol w:w="1005"/>
        <w:gridCol w:w="1006"/>
        <w:gridCol w:w="930"/>
        <w:gridCol w:w="2924"/>
        <w:gridCol w:w="3271"/>
        <w:gridCol w:w="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9" w:type="dxa"/>
            <w:vAlign w:val="center"/>
          </w:tcPr>
          <w:p>
            <w:pPr>
              <w:spacing w:line="360" w:lineRule="auto"/>
              <w:jc w:val="center"/>
              <w:rPr>
                <w:rFonts w:hint="eastAsia"/>
              </w:rPr>
            </w:pPr>
            <w:r>
              <w:rPr>
                <w:rFonts w:hint="eastAsia" w:ascii="宋体" w:hAnsi="宋体"/>
                <w:b/>
                <w:bCs/>
                <w:szCs w:val="21"/>
              </w:rPr>
              <w:t>类别</w:t>
            </w:r>
          </w:p>
        </w:tc>
        <w:tc>
          <w:tcPr>
            <w:tcW w:w="2766" w:type="dxa"/>
            <w:vAlign w:val="center"/>
          </w:tcPr>
          <w:p>
            <w:pPr>
              <w:spacing w:line="360" w:lineRule="auto"/>
              <w:jc w:val="center"/>
              <w:rPr>
                <w:rFonts w:hint="eastAsia"/>
              </w:rPr>
            </w:pPr>
            <w:r>
              <w:rPr>
                <w:rFonts w:hint="eastAsia" w:ascii="宋体" w:hAnsi="宋体"/>
                <w:b/>
                <w:bCs/>
                <w:szCs w:val="21"/>
              </w:rPr>
              <w:t>项目名称</w:t>
            </w:r>
          </w:p>
        </w:tc>
        <w:tc>
          <w:tcPr>
            <w:tcW w:w="1005" w:type="dxa"/>
            <w:vAlign w:val="center"/>
          </w:tcPr>
          <w:p>
            <w:pPr>
              <w:spacing w:line="360" w:lineRule="auto"/>
              <w:jc w:val="center"/>
              <w:rPr>
                <w:rFonts w:hint="eastAsia" w:ascii="宋体" w:hAnsi="宋体"/>
                <w:b/>
                <w:bCs/>
                <w:szCs w:val="21"/>
              </w:rPr>
            </w:pPr>
            <w:r>
              <w:rPr>
                <w:rFonts w:hint="eastAsia" w:ascii="宋体" w:hAnsi="宋体"/>
                <w:b/>
                <w:bCs/>
                <w:szCs w:val="21"/>
              </w:rPr>
              <w:t>2</w:t>
            </w:r>
            <w:r>
              <w:rPr>
                <w:rFonts w:ascii="宋体" w:hAnsi="宋体"/>
                <w:b/>
                <w:bCs/>
                <w:szCs w:val="21"/>
              </w:rPr>
              <w:t>020</w:t>
            </w:r>
            <w:r>
              <w:rPr>
                <w:rFonts w:hint="eastAsia" w:ascii="宋体" w:hAnsi="宋体"/>
                <w:b/>
                <w:bCs/>
                <w:szCs w:val="21"/>
              </w:rPr>
              <w:t>年</w:t>
            </w:r>
          </w:p>
          <w:p>
            <w:pPr>
              <w:spacing w:line="360" w:lineRule="auto"/>
              <w:jc w:val="center"/>
              <w:rPr>
                <w:rFonts w:hint="eastAsia"/>
              </w:rPr>
            </w:pPr>
            <w:r>
              <w:rPr>
                <w:rFonts w:hint="eastAsia" w:ascii="宋体" w:hAnsi="宋体"/>
                <w:b/>
                <w:bCs/>
                <w:szCs w:val="21"/>
                <w:lang w:eastAsia="zh-CN"/>
              </w:rPr>
              <w:t>实际值</w:t>
            </w:r>
          </w:p>
        </w:tc>
        <w:tc>
          <w:tcPr>
            <w:tcW w:w="1006" w:type="dxa"/>
            <w:vAlign w:val="center"/>
          </w:tcPr>
          <w:p>
            <w:pPr>
              <w:spacing w:line="360" w:lineRule="auto"/>
              <w:jc w:val="center"/>
              <w:rPr>
                <w:rFonts w:hint="eastAsia" w:ascii="宋体" w:hAnsi="宋体"/>
                <w:b/>
                <w:bCs/>
                <w:szCs w:val="21"/>
              </w:rPr>
            </w:pPr>
            <w:r>
              <w:rPr>
                <w:rFonts w:hint="eastAsia" w:ascii="宋体" w:hAnsi="宋体"/>
                <w:b/>
                <w:bCs/>
                <w:szCs w:val="21"/>
              </w:rPr>
              <w:t>2</w:t>
            </w:r>
            <w:r>
              <w:rPr>
                <w:rFonts w:ascii="宋体" w:hAnsi="宋体"/>
                <w:b/>
                <w:bCs/>
                <w:szCs w:val="21"/>
              </w:rPr>
              <w:t>02</w:t>
            </w:r>
            <w:r>
              <w:rPr>
                <w:rFonts w:hint="eastAsia" w:ascii="宋体" w:hAnsi="宋体"/>
                <w:b/>
                <w:bCs/>
                <w:szCs w:val="21"/>
                <w:lang w:val="en-US" w:eastAsia="zh-CN"/>
              </w:rPr>
              <w:t>2</w:t>
            </w:r>
            <w:r>
              <w:rPr>
                <w:rFonts w:hint="eastAsia" w:ascii="宋体" w:hAnsi="宋体"/>
                <w:b/>
                <w:bCs/>
                <w:szCs w:val="21"/>
              </w:rPr>
              <w:t>年</w:t>
            </w:r>
          </w:p>
          <w:p>
            <w:pPr>
              <w:spacing w:line="360" w:lineRule="auto"/>
              <w:jc w:val="center"/>
              <w:rPr>
                <w:rFonts w:hint="eastAsia"/>
              </w:rPr>
            </w:pPr>
            <w:r>
              <w:rPr>
                <w:rFonts w:hint="eastAsia" w:ascii="宋体" w:hAnsi="宋体"/>
                <w:b/>
                <w:bCs/>
                <w:szCs w:val="21"/>
                <w:lang w:val="en-US" w:eastAsia="zh-CN"/>
              </w:rPr>
              <w:t>目标</w:t>
            </w:r>
          </w:p>
        </w:tc>
        <w:tc>
          <w:tcPr>
            <w:tcW w:w="930" w:type="dxa"/>
            <w:vAlign w:val="center"/>
          </w:tcPr>
          <w:p>
            <w:pPr>
              <w:spacing w:line="360" w:lineRule="auto"/>
              <w:jc w:val="center"/>
              <w:rPr>
                <w:rFonts w:hint="eastAsia" w:ascii="宋体" w:hAnsi="宋体"/>
                <w:b/>
                <w:bCs/>
                <w:szCs w:val="21"/>
              </w:rPr>
            </w:pPr>
            <w:r>
              <w:rPr>
                <w:rFonts w:hint="eastAsia" w:ascii="宋体" w:hAnsi="宋体"/>
                <w:b/>
                <w:bCs/>
                <w:szCs w:val="21"/>
              </w:rPr>
              <w:t>2</w:t>
            </w:r>
            <w:r>
              <w:rPr>
                <w:rFonts w:ascii="宋体" w:hAnsi="宋体"/>
                <w:b/>
                <w:bCs/>
                <w:szCs w:val="21"/>
              </w:rPr>
              <w:t>025</w:t>
            </w:r>
            <w:r>
              <w:rPr>
                <w:rFonts w:hint="eastAsia" w:ascii="宋体" w:hAnsi="宋体"/>
                <w:b/>
                <w:bCs/>
                <w:szCs w:val="21"/>
              </w:rPr>
              <w:t>年</w:t>
            </w:r>
          </w:p>
          <w:p>
            <w:pPr>
              <w:spacing w:line="360" w:lineRule="auto"/>
              <w:jc w:val="center"/>
              <w:rPr>
                <w:rFonts w:hint="eastAsia"/>
              </w:rPr>
            </w:pPr>
            <w:r>
              <w:rPr>
                <w:rFonts w:hint="eastAsia" w:ascii="宋体" w:hAnsi="宋体"/>
                <w:b/>
                <w:bCs/>
                <w:szCs w:val="21"/>
              </w:rPr>
              <w:t>目标</w:t>
            </w:r>
          </w:p>
        </w:tc>
        <w:tc>
          <w:tcPr>
            <w:tcW w:w="2924"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工作体系</w:t>
            </w:r>
          </w:p>
        </w:tc>
        <w:tc>
          <w:tcPr>
            <w:tcW w:w="3271" w:type="dxa"/>
            <w:vAlign w:val="center"/>
          </w:tcPr>
          <w:p>
            <w:pPr>
              <w:spacing w:line="360" w:lineRule="auto"/>
              <w:jc w:val="center"/>
              <w:rPr>
                <w:rFonts w:hint="eastAsia" w:ascii="宋体" w:hAnsi="宋体" w:eastAsia="宋体"/>
                <w:b/>
                <w:bCs/>
                <w:szCs w:val="21"/>
                <w:lang w:eastAsia="zh-CN"/>
              </w:rPr>
            </w:pPr>
            <w:r>
              <w:rPr>
                <w:rFonts w:hint="eastAsia" w:ascii="宋体" w:hAnsi="宋体"/>
                <w:b/>
                <w:bCs/>
                <w:szCs w:val="21"/>
                <w:lang w:eastAsia="zh-CN"/>
              </w:rPr>
              <w:t>工作机制</w:t>
            </w:r>
          </w:p>
        </w:tc>
        <w:tc>
          <w:tcPr>
            <w:tcW w:w="854" w:type="dxa"/>
            <w:vAlign w:val="center"/>
          </w:tcPr>
          <w:p>
            <w:pPr>
              <w:spacing w:line="360" w:lineRule="auto"/>
              <w:jc w:val="center"/>
              <w:rPr>
                <w:rFonts w:hint="eastAsia"/>
              </w:rPr>
            </w:pPr>
            <w:r>
              <w:rPr>
                <w:rFonts w:hint="eastAsia" w:ascii="宋体" w:hAnsi="宋体"/>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trPr>
        <w:tc>
          <w:tcPr>
            <w:tcW w:w="1299" w:type="dxa"/>
            <w:vMerge w:val="restart"/>
            <w:vAlign w:val="center"/>
          </w:tcPr>
          <w:p>
            <w:pPr>
              <w:spacing w:line="360" w:lineRule="auto"/>
              <w:jc w:val="center"/>
              <w:rPr>
                <w:rFonts w:hint="eastAsia" w:eastAsia="宋体"/>
                <w:lang w:eastAsia="zh-CN"/>
              </w:rPr>
            </w:pPr>
            <w:r>
              <w:rPr>
                <w:rFonts w:hint="eastAsia"/>
                <w:b/>
                <w:bCs/>
                <w:lang w:eastAsia="zh-CN"/>
              </w:rPr>
              <w:t>基础性项目</w:t>
            </w:r>
          </w:p>
        </w:tc>
        <w:tc>
          <w:tcPr>
            <w:tcW w:w="2766" w:type="dxa"/>
            <w:vAlign w:val="center"/>
          </w:tcPr>
          <w:p>
            <w:pPr>
              <w:spacing w:line="276" w:lineRule="auto"/>
              <w:jc w:val="left"/>
              <w:rPr>
                <w:rFonts w:hint="eastAsia"/>
              </w:rPr>
            </w:pPr>
            <w:r>
              <w:rPr>
                <w:rFonts w:hint="eastAsia" w:ascii="宋体" w:hAnsi="宋体"/>
                <w:color w:val="auto"/>
                <w:szCs w:val="21"/>
              </w:rPr>
              <w:t>城乡居民最低生活保障标准（元）</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13000</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13200</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14000</w:t>
            </w:r>
          </w:p>
        </w:tc>
        <w:tc>
          <w:tcPr>
            <w:tcW w:w="2924" w:type="dxa"/>
            <w:vMerge w:val="restart"/>
            <w:vAlign w:val="center"/>
          </w:tcPr>
          <w:p>
            <w:pPr>
              <w:numPr>
                <w:ilvl w:val="0"/>
                <w:numId w:val="1"/>
              </w:num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深化完善“1+8+X”大救助体系</w:t>
            </w:r>
          </w:p>
          <w:p>
            <w:pPr>
              <w:numPr>
                <w:ilvl w:val="0"/>
                <w:numId w:val="1"/>
              </w:num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主动排摸和识别，分层分类加强困难家庭救助，建立精准救助保障体系</w:t>
            </w:r>
          </w:p>
        </w:tc>
        <w:tc>
          <w:tcPr>
            <w:tcW w:w="3271" w:type="dxa"/>
            <w:vMerge w:val="restart"/>
            <w:vAlign w:val="center"/>
          </w:tcPr>
          <w:p>
            <w:pPr>
              <w:numPr>
                <w:ilvl w:val="0"/>
                <w:numId w:val="2"/>
              </w:num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建立救助对象诚信申报承诺和失信惩戒机制</w:t>
            </w:r>
          </w:p>
          <w:p>
            <w:pPr>
              <w:numPr>
                <w:ilvl w:val="0"/>
                <w:numId w:val="2"/>
              </w:num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完善社会救助联席会议工作机制</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ascii="宋体" w:hAnsi="宋体"/>
                <w:color w:val="auto"/>
                <w:szCs w:val="21"/>
              </w:rPr>
            </w:pPr>
            <w:r>
              <w:rPr>
                <w:rFonts w:hint="eastAsia" w:ascii="宋体" w:hAnsi="宋体"/>
                <w:color w:val="auto"/>
                <w:szCs w:val="21"/>
              </w:rPr>
              <w:t>社会救助“一件事”惠民联办率（%）</w:t>
            </w:r>
          </w:p>
        </w:tc>
        <w:tc>
          <w:tcPr>
            <w:tcW w:w="1005"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highlight w:val="none"/>
                <w:lang w:val="en-US" w:eastAsia="zh-CN"/>
              </w:rPr>
              <w:t>0</w:t>
            </w:r>
          </w:p>
        </w:tc>
        <w:tc>
          <w:tcPr>
            <w:tcW w:w="1006"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highlight w:val="none"/>
                <w:lang w:val="en-US" w:eastAsia="zh-CN"/>
              </w:rPr>
              <w:t>80</w:t>
            </w:r>
          </w:p>
        </w:tc>
        <w:tc>
          <w:tcPr>
            <w:tcW w:w="930"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highlight w:val="none"/>
              </w:rPr>
              <w:t>1</w:t>
            </w:r>
            <w:r>
              <w:rPr>
                <w:rFonts w:ascii="宋体" w:hAnsi="宋体"/>
                <w:color w:val="auto"/>
                <w:szCs w:val="21"/>
                <w:highlight w:val="none"/>
              </w:rPr>
              <w:t>00</w:t>
            </w:r>
          </w:p>
        </w:tc>
        <w:tc>
          <w:tcPr>
            <w:tcW w:w="2924" w:type="dxa"/>
            <w:vMerge w:val="continue"/>
            <w:vAlign w:val="center"/>
          </w:tcPr>
          <w:p>
            <w:pPr>
              <w:spacing w:line="276" w:lineRule="auto"/>
              <w:jc w:val="center"/>
              <w:rPr>
                <w:rFonts w:hint="eastAsia" w:ascii="宋体" w:hAnsi="宋体" w:eastAsia="宋体"/>
                <w:color w:val="auto"/>
                <w:szCs w:val="21"/>
                <w:highlight w:val="none"/>
                <w:lang w:eastAsia="zh-CN"/>
              </w:rPr>
            </w:pPr>
          </w:p>
        </w:tc>
        <w:tc>
          <w:tcPr>
            <w:tcW w:w="3271" w:type="dxa"/>
            <w:vMerge w:val="continue"/>
            <w:vAlign w:val="center"/>
          </w:tcPr>
          <w:p>
            <w:pPr>
              <w:spacing w:line="276" w:lineRule="auto"/>
              <w:jc w:val="center"/>
              <w:rPr>
                <w:rFonts w:hint="eastAsia" w:ascii="宋体" w:hAnsi="宋体"/>
                <w:color w:val="auto"/>
                <w:szCs w:val="21"/>
                <w:highlight w:val="none"/>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未成年人救助保护中心实体化运行率（%）</w:t>
            </w:r>
          </w:p>
        </w:tc>
        <w:tc>
          <w:tcPr>
            <w:tcW w:w="1005" w:type="dxa"/>
            <w:vAlign w:val="center"/>
          </w:tcPr>
          <w:p>
            <w:pPr>
              <w:spacing w:line="276" w:lineRule="auto"/>
              <w:jc w:val="center"/>
              <w:rPr>
                <w:rFonts w:hint="eastAsia"/>
              </w:rPr>
            </w:pPr>
            <w:r>
              <w:rPr>
                <w:rFonts w:hint="eastAsia" w:ascii="宋体" w:hAnsi="宋体"/>
                <w:color w:val="auto"/>
                <w:szCs w:val="21"/>
                <w:lang w:eastAsia="zh-CN"/>
              </w:rPr>
              <w:t>——</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100</w:t>
            </w:r>
          </w:p>
        </w:tc>
        <w:tc>
          <w:tcPr>
            <w:tcW w:w="930" w:type="dxa"/>
            <w:vAlign w:val="center"/>
          </w:tcPr>
          <w:p>
            <w:pPr>
              <w:spacing w:line="276" w:lineRule="auto"/>
              <w:jc w:val="center"/>
              <w:rPr>
                <w:rFonts w:hint="eastAsia"/>
              </w:rPr>
            </w:pPr>
            <w:r>
              <w:rPr>
                <w:rFonts w:ascii="宋体" w:hAnsi="宋体"/>
                <w:color w:val="auto"/>
                <w:szCs w:val="21"/>
              </w:rPr>
              <w:t>100</w:t>
            </w:r>
          </w:p>
        </w:tc>
        <w:tc>
          <w:tcPr>
            <w:tcW w:w="2924" w:type="dxa"/>
            <w:vAlign w:val="center"/>
          </w:tcPr>
          <w:p>
            <w:pPr>
              <w:spacing w:line="276" w:lineRule="auto"/>
              <w:jc w:val="center"/>
              <w:rPr>
                <w:rFonts w:ascii="宋体" w:hAnsi="宋体"/>
                <w:color w:val="auto"/>
                <w:szCs w:val="21"/>
              </w:rPr>
            </w:pPr>
            <w:r>
              <w:rPr>
                <w:rFonts w:hint="eastAsia"/>
              </w:rPr>
              <w:t>“3+2”模式搭建余杭未成年人保护体系</w:t>
            </w:r>
          </w:p>
        </w:tc>
        <w:tc>
          <w:tcPr>
            <w:tcW w:w="3271" w:type="dxa"/>
            <w:vAlign w:val="center"/>
          </w:tcPr>
          <w:p>
            <w:pPr>
              <w:spacing w:line="276" w:lineRule="auto"/>
              <w:jc w:val="center"/>
              <w:rPr>
                <w:rFonts w:hint="eastAsia" w:ascii="宋体" w:hAnsi="宋体"/>
                <w:color w:val="auto"/>
                <w:szCs w:val="21"/>
              </w:rPr>
            </w:pPr>
            <w:r>
              <w:rPr>
                <w:rFonts w:hint="eastAsia" w:ascii="宋体" w:hAnsi="宋体"/>
                <w:color w:val="auto"/>
                <w:szCs w:val="21"/>
                <w:lang w:val="en-US" w:eastAsia="zh-CN"/>
              </w:rPr>
              <w:t>1.</w:t>
            </w:r>
            <w:r>
              <w:rPr>
                <w:rFonts w:hint="eastAsia" w:ascii="宋体" w:hAnsi="宋体"/>
                <w:color w:val="auto"/>
                <w:szCs w:val="21"/>
              </w:rPr>
              <w:t>“3”指三级未保体系，建立区级未成年人救助保护中心，镇街未成年人保护工作站，村社未成年人保护工作点</w:t>
            </w:r>
          </w:p>
          <w:p>
            <w:pPr>
              <w:spacing w:line="276" w:lineRule="auto"/>
              <w:jc w:val="center"/>
              <w:rPr>
                <w:rFonts w:ascii="宋体" w:hAnsi="宋体"/>
                <w:color w:val="auto"/>
                <w:szCs w:val="21"/>
              </w:rPr>
            </w:pPr>
            <w:r>
              <w:rPr>
                <w:rFonts w:hint="eastAsia" w:ascii="宋体" w:hAnsi="宋体"/>
                <w:color w:val="auto"/>
                <w:szCs w:val="21"/>
                <w:lang w:val="en-US" w:eastAsia="zh-CN"/>
              </w:rPr>
              <w:t>2.</w:t>
            </w:r>
            <w:r>
              <w:rPr>
                <w:rFonts w:hint="eastAsia" w:ascii="宋体" w:hAnsi="宋体"/>
                <w:color w:val="auto"/>
                <w:szCs w:val="21"/>
              </w:rPr>
              <w:t>“2”指两个协调机制，一是区级成立由25个成员单位组成的未保协调机制；二是成立由民政、教育、妇联、派出所、司法所、团委等相关部门组成的镇街级未保协调机制</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ascii="宋体" w:hAnsi="宋体"/>
                <w:color w:val="auto"/>
                <w:szCs w:val="21"/>
                <w:lang w:val="en-US" w:eastAsia="zh-CN"/>
              </w:rPr>
            </w:pPr>
            <w:r>
              <w:rPr>
                <w:rFonts w:hint="eastAsia" w:ascii="宋体" w:hAnsi="宋体"/>
                <w:color w:val="auto"/>
                <w:szCs w:val="21"/>
                <w:lang w:val="en-US" w:eastAsia="zh-CN"/>
              </w:rPr>
              <w:t>建成区级公立养老院（个）</w:t>
            </w:r>
          </w:p>
        </w:tc>
        <w:tc>
          <w:tcPr>
            <w:tcW w:w="1005"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0</w:t>
            </w:r>
          </w:p>
        </w:tc>
        <w:tc>
          <w:tcPr>
            <w:tcW w:w="930"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1</w:t>
            </w:r>
          </w:p>
        </w:tc>
        <w:tc>
          <w:tcPr>
            <w:tcW w:w="2924"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1.居家社区机构相协调、医养康养相结合养老服务体系</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2.老年人福利保障体系</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3.养老从业人员教育体系</w:t>
            </w:r>
          </w:p>
        </w:tc>
        <w:tc>
          <w:tcPr>
            <w:tcW w:w="3271"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1.完善财政保障机制</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2.建立“一事一议”机制</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3.落实多部门联合监管机制</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每万名老年人拥有持证养老护理员（人）</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16</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23</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30</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养老机构床位中护理型床位占比（%）</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55</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58</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60</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康养联合体建设（个）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2</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4</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每万人拥有注册登记社会组织（个）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5</w:t>
            </w:r>
          </w:p>
        </w:tc>
        <w:tc>
          <w:tcPr>
            <w:tcW w:w="1006" w:type="dxa"/>
            <w:vAlign w:val="center"/>
          </w:tcPr>
          <w:p>
            <w:pPr>
              <w:spacing w:line="276" w:lineRule="auto"/>
              <w:jc w:val="center"/>
              <w:rPr>
                <w:rFonts w:hint="eastAsia" w:ascii="宋体" w:hAnsi="宋体" w:eastAsia="宋体" w:cs="宋体"/>
                <w:lang w:val="en-US" w:eastAsia="zh-CN"/>
              </w:rPr>
            </w:pPr>
            <w:r>
              <w:rPr>
                <w:rFonts w:hint="eastAsia" w:ascii="宋体" w:hAnsi="宋体" w:eastAsia="宋体" w:cs="宋体"/>
                <w:lang w:val="en-US" w:eastAsia="zh-CN"/>
              </w:rPr>
              <w:t>6</w:t>
            </w:r>
          </w:p>
        </w:tc>
        <w:tc>
          <w:tcPr>
            <w:tcW w:w="930" w:type="dxa"/>
            <w:vAlign w:val="center"/>
          </w:tcPr>
          <w:p>
            <w:pPr>
              <w:spacing w:line="276" w:lineRule="auto"/>
              <w:jc w:val="center"/>
              <w:rPr>
                <w:rFonts w:hint="eastAsia" w:ascii="宋体" w:hAnsi="宋体" w:eastAsia="宋体" w:cs="宋体"/>
                <w:lang w:val="en-US" w:eastAsia="zh-CN"/>
              </w:rPr>
            </w:pPr>
            <w:r>
              <w:rPr>
                <w:rFonts w:hint="eastAsia" w:ascii="宋体" w:hAnsi="宋体" w:eastAsia="宋体" w:cs="宋体"/>
                <w:lang w:val="en-US" w:eastAsia="zh-CN"/>
              </w:rPr>
              <w:t>8</w:t>
            </w:r>
          </w:p>
        </w:tc>
        <w:tc>
          <w:tcPr>
            <w:tcW w:w="2924" w:type="dxa"/>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eastAsia="zh-CN"/>
              </w:rPr>
              <w:t>——</w:t>
            </w:r>
          </w:p>
        </w:tc>
        <w:tc>
          <w:tcPr>
            <w:tcW w:w="3271" w:type="dxa"/>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7"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每万人拥有持证社工专业人才（人）</w:t>
            </w:r>
          </w:p>
        </w:tc>
        <w:tc>
          <w:tcPr>
            <w:tcW w:w="1005" w:type="dxa"/>
            <w:vAlign w:val="center"/>
          </w:tcPr>
          <w:p>
            <w:pPr>
              <w:spacing w:line="276" w:lineRule="auto"/>
              <w:jc w:val="center"/>
              <w:rPr>
                <w:rFonts w:hint="eastAsia"/>
              </w:rPr>
            </w:pPr>
            <w:r>
              <w:rPr>
                <w:rFonts w:hint="eastAsia" w:ascii="宋体" w:hAnsi="宋体"/>
                <w:color w:val="auto"/>
                <w:szCs w:val="21"/>
              </w:rPr>
              <w:t>1</w:t>
            </w:r>
            <w:r>
              <w:rPr>
                <w:rFonts w:ascii="宋体" w:hAnsi="宋体"/>
                <w:color w:val="auto"/>
                <w:szCs w:val="21"/>
              </w:rPr>
              <w:t>5</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19</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22</w:t>
            </w:r>
          </w:p>
        </w:tc>
        <w:tc>
          <w:tcPr>
            <w:tcW w:w="2924" w:type="dxa"/>
            <w:vMerge w:val="restart"/>
            <w:vAlign w:val="center"/>
          </w:tcPr>
          <w:p>
            <w:pPr>
              <w:spacing w:line="276" w:lineRule="auto"/>
              <w:jc w:val="center"/>
              <w:rPr>
                <w:rFonts w:hint="eastAsia"/>
              </w:rPr>
            </w:pPr>
          </w:p>
          <w:p>
            <w:pPr>
              <w:spacing w:line="276" w:lineRule="auto"/>
              <w:jc w:val="center"/>
              <w:rPr>
                <w:rFonts w:hint="eastAsia"/>
              </w:rPr>
            </w:pPr>
            <w:r>
              <w:rPr>
                <w:rFonts w:hint="eastAsia"/>
              </w:rPr>
              <w:t>建立“共建共治共享”的基层社会治理体系</w:t>
            </w:r>
          </w:p>
          <w:p>
            <w:pPr>
              <w:spacing w:line="276" w:lineRule="auto"/>
              <w:jc w:val="center"/>
              <w:rPr>
                <w:rFonts w:hint="eastAsia" w:ascii="宋体" w:hAnsi="宋体"/>
                <w:color w:val="auto"/>
                <w:szCs w:val="21"/>
                <w:lang w:val="en-US" w:eastAsia="zh-CN"/>
              </w:rPr>
            </w:pPr>
          </w:p>
        </w:tc>
        <w:tc>
          <w:tcPr>
            <w:tcW w:w="3271" w:type="dxa"/>
            <w:vMerge w:val="restart"/>
            <w:vAlign w:val="center"/>
          </w:tcPr>
          <w:p>
            <w:pPr>
              <w:spacing w:line="276" w:lineRule="auto"/>
              <w:jc w:val="center"/>
              <w:rPr>
                <w:rFonts w:hint="eastAsia" w:ascii="宋体" w:hAnsi="宋体"/>
                <w:color w:val="auto"/>
                <w:szCs w:val="21"/>
                <w:lang w:val="en-US" w:eastAsia="zh-CN"/>
              </w:rPr>
            </w:pPr>
            <w:r>
              <w:rPr>
                <w:rFonts w:hint="eastAsia"/>
              </w:rPr>
              <w:t>完善“四治融合”、“三社联动”机制</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1" w:hRule="atLeast"/>
        </w:trPr>
        <w:tc>
          <w:tcPr>
            <w:tcW w:w="1299" w:type="dxa"/>
            <w:vMerge w:val="continue"/>
            <w:vAlign w:val="top"/>
          </w:tcPr>
          <w:p>
            <w:pPr>
              <w:spacing w:line="360" w:lineRule="auto"/>
              <w:rPr>
                <w:rFonts w:hint="eastAsia"/>
              </w:rPr>
            </w:pPr>
          </w:p>
        </w:tc>
        <w:tc>
          <w:tcPr>
            <w:tcW w:w="2766" w:type="dxa"/>
            <w:vAlign w:val="top"/>
          </w:tcPr>
          <w:p>
            <w:pPr>
              <w:spacing w:line="360" w:lineRule="auto"/>
              <w:rPr>
                <w:rFonts w:hint="eastAsia" w:eastAsia="宋体"/>
                <w:lang w:eastAsia="zh-CN"/>
              </w:rPr>
            </w:pPr>
            <w:r>
              <w:rPr>
                <w:rFonts w:hint="eastAsia"/>
                <w:lang w:eastAsia="zh-CN"/>
              </w:rPr>
              <w:t>专职社区工作者社会工作职称持证率</w:t>
            </w:r>
            <w:r>
              <w:rPr>
                <w:rFonts w:hint="eastAsia" w:ascii="宋体" w:hAnsi="宋体"/>
                <w:color w:val="auto"/>
                <w:szCs w:val="21"/>
              </w:rPr>
              <w:t>（%）</w:t>
            </w:r>
          </w:p>
        </w:tc>
        <w:tc>
          <w:tcPr>
            <w:tcW w:w="1005"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60.5%</w:t>
            </w:r>
          </w:p>
        </w:tc>
        <w:tc>
          <w:tcPr>
            <w:tcW w:w="1006"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62%</w:t>
            </w:r>
          </w:p>
        </w:tc>
        <w:tc>
          <w:tcPr>
            <w:tcW w:w="930"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65%</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center"/>
          </w:tcPr>
          <w:p>
            <w:pPr>
              <w:spacing w:line="360" w:lineRule="auto"/>
              <w:jc w:val="center"/>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1299" w:type="dxa"/>
            <w:vMerge w:val="continue"/>
            <w:vAlign w:val="top"/>
          </w:tcPr>
          <w:p>
            <w:pPr>
              <w:spacing w:line="360" w:lineRule="auto"/>
              <w:rPr>
                <w:rFonts w:hint="eastAsia"/>
              </w:rPr>
            </w:pPr>
          </w:p>
        </w:tc>
        <w:tc>
          <w:tcPr>
            <w:tcW w:w="2766" w:type="dxa"/>
            <w:vAlign w:val="top"/>
          </w:tcPr>
          <w:p>
            <w:pPr>
              <w:spacing w:line="360" w:lineRule="auto"/>
              <w:rPr>
                <w:rFonts w:hint="eastAsia" w:eastAsia="宋体"/>
                <w:lang w:eastAsia="zh-CN"/>
              </w:rPr>
            </w:pPr>
            <w:r>
              <w:rPr>
                <w:rFonts w:hint="eastAsia"/>
                <w:lang w:eastAsia="zh-CN"/>
              </w:rPr>
              <w:t>慈善组织接受社会捐赠总量（万元）</w:t>
            </w:r>
          </w:p>
        </w:tc>
        <w:tc>
          <w:tcPr>
            <w:tcW w:w="1005"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8591.27</w:t>
            </w:r>
          </w:p>
        </w:tc>
        <w:tc>
          <w:tcPr>
            <w:tcW w:w="1006"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6000</w:t>
            </w:r>
          </w:p>
        </w:tc>
        <w:tc>
          <w:tcPr>
            <w:tcW w:w="930"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6500</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1.深化完善“互联网+慈善”帮扶救助体系</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2.线上线下精准帮扶救助保障体系</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1.建立救助对象诚信申报承诺和失信惩戒机制</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2.完善“3+1”慈善救助工作机制</w:t>
            </w:r>
          </w:p>
        </w:tc>
        <w:tc>
          <w:tcPr>
            <w:tcW w:w="854" w:type="dxa"/>
            <w:vAlign w:val="top"/>
          </w:tcPr>
          <w:p>
            <w:pPr>
              <w:spacing w:line="240" w:lineRule="auto"/>
              <w:rPr>
                <w:rFonts w:hint="eastAsia" w:eastAsia="宋体"/>
                <w:lang w:val="en-US" w:eastAsia="zh-CN"/>
              </w:rPr>
            </w:pPr>
            <w:r>
              <w:rPr>
                <w:rFonts w:hint="eastAsia"/>
                <w:lang w:val="en-US" w:eastAsia="zh-CN"/>
              </w:rPr>
              <w:t>2020年数据为行政区划调整前数据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建成5A级婚姻登记机关</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5A</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5</w:t>
            </w:r>
            <w:r>
              <w:rPr>
                <w:rFonts w:hint="eastAsia" w:ascii="宋体" w:hAnsi="宋体"/>
                <w:color w:val="auto"/>
                <w:szCs w:val="21"/>
              </w:rPr>
              <w:t>A</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移民人均可支配收入达到当地水平（%）</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96</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98</w:t>
            </w:r>
          </w:p>
        </w:tc>
        <w:tc>
          <w:tcPr>
            <w:tcW w:w="930" w:type="dxa"/>
            <w:vAlign w:val="center"/>
          </w:tcPr>
          <w:p>
            <w:pPr>
              <w:spacing w:line="276" w:lineRule="auto"/>
              <w:jc w:val="center"/>
              <w:rPr>
                <w:rFonts w:hint="eastAsia"/>
              </w:rPr>
            </w:pPr>
            <w:r>
              <w:rPr>
                <w:rFonts w:hint="eastAsia" w:ascii="宋体" w:hAnsi="宋体"/>
                <w:color w:val="auto"/>
                <w:szCs w:val="21"/>
              </w:rPr>
              <w:t>1</w:t>
            </w:r>
            <w:r>
              <w:rPr>
                <w:rFonts w:ascii="宋体" w:hAnsi="宋体"/>
                <w:color w:val="auto"/>
                <w:szCs w:val="21"/>
              </w:rPr>
              <w:t>00</w:t>
            </w:r>
          </w:p>
        </w:tc>
        <w:tc>
          <w:tcPr>
            <w:tcW w:w="2924" w:type="dxa"/>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eastAsia="zh-CN"/>
              </w:rPr>
              <w:t>——</w:t>
            </w:r>
          </w:p>
        </w:tc>
        <w:tc>
          <w:tcPr>
            <w:tcW w:w="3271" w:type="dxa"/>
            <w:vAlign w:val="center"/>
          </w:tcPr>
          <w:p>
            <w:pPr>
              <w:spacing w:line="276" w:lineRule="auto"/>
              <w:jc w:val="center"/>
              <w:rPr>
                <w:rFonts w:hint="eastAsia" w:ascii="宋体" w:hAnsi="宋体" w:eastAsia="宋体"/>
                <w:color w:val="auto"/>
                <w:szCs w:val="21"/>
                <w:lang w:eastAsia="zh-CN"/>
              </w:rPr>
            </w:pPr>
            <w:r>
              <w:rPr>
                <w:rFonts w:hint="eastAsia" w:ascii="宋体" w:hAnsi="宋体"/>
                <w:color w:val="auto"/>
                <w:szCs w:val="21"/>
                <w:lang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5" w:hRule="atLeast"/>
        </w:trPr>
        <w:tc>
          <w:tcPr>
            <w:tcW w:w="1299" w:type="dxa"/>
            <w:vMerge w:val="restart"/>
            <w:vAlign w:val="center"/>
          </w:tcPr>
          <w:p>
            <w:pPr>
              <w:spacing w:line="360" w:lineRule="auto"/>
              <w:jc w:val="center"/>
              <w:rPr>
                <w:rFonts w:hint="eastAsia" w:eastAsia="宋体"/>
                <w:lang w:eastAsia="zh-CN"/>
              </w:rPr>
            </w:pPr>
            <w:r>
              <w:rPr>
                <w:rFonts w:hint="eastAsia"/>
                <w:b/>
                <w:bCs/>
                <w:lang w:eastAsia="zh-CN"/>
              </w:rPr>
              <w:t>成长性项目</w:t>
            </w:r>
          </w:p>
        </w:tc>
        <w:tc>
          <w:tcPr>
            <w:tcW w:w="2766" w:type="dxa"/>
            <w:vAlign w:val="center"/>
          </w:tcPr>
          <w:p>
            <w:pPr>
              <w:spacing w:line="276" w:lineRule="auto"/>
              <w:jc w:val="left"/>
              <w:rPr>
                <w:rFonts w:hint="eastAsia"/>
              </w:rPr>
            </w:pPr>
            <w:r>
              <w:rPr>
                <w:rFonts w:hint="eastAsia" w:ascii="宋体" w:hAnsi="宋体"/>
                <w:color w:val="auto"/>
                <w:szCs w:val="21"/>
              </w:rPr>
              <w:t>福利机构孤儿生活费月补助（元）</w:t>
            </w:r>
          </w:p>
        </w:tc>
        <w:tc>
          <w:tcPr>
            <w:tcW w:w="1005" w:type="dxa"/>
            <w:vAlign w:val="center"/>
          </w:tcPr>
          <w:p>
            <w:pPr>
              <w:spacing w:line="276" w:lineRule="auto"/>
              <w:jc w:val="center"/>
              <w:rPr>
                <w:rFonts w:hint="eastAsia"/>
              </w:rPr>
            </w:pPr>
            <w:r>
              <w:rPr>
                <w:rFonts w:hint="eastAsia" w:ascii="宋体" w:hAnsi="宋体"/>
                <w:color w:val="auto"/>
                <w:szCs w:val="21"/>
                <w:lang w:eastAsia="zh-CN"/>
              </w:rPr>
              <w:t xml:space="preserve"> </w:t>
            </w:r>
            <w:r>
              <w:rPr>
                <w:rFonts w:hint="eastAsia" w:ascii="宋体" w:hAnsi="宋体"/>
                <w:color w:val="auto"/>
                <w:szCs w:val="21"/>
                <w:lang w:val="en-US" w:eastAsia="zh-CN"/>
              </w:rPr>
              <w:t>2571</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2700</w:t>
            </w:r>
          </w:p>
        </w:tc>
        <w:tc>
          <w:tcPr>
            <w:tcW w:w="930" w:type="dxa"/>
            <w:vAlign w:val="center"/>
          </w:tcPr>
          <w:p>
            <w:pPr>
              <w:spacing w:line="276" w:lineRule="auto"/>
              <w:jc w:val="center"/>
              <w:rPr>
                <w:rFonts w:hint="eastAsia"/>
              </w:rPr>
            </w:pPr>
            <w:r>
              <w:rPr>
                <w:rFonts w:hint="eastAsia" w:ascii="宋体" w:hAnsi="宋体"/>
                <w:color w:val="auto"/>
                <w:szCs w:val="21"/>
              </w:rPr>
              <w:t>2</w:t>
            </w:r>
            <w:r>
              <w:rPr>
                <w:rFonts w:ascii="宋体" w:hAnsi="宋体"/>
                <w:color w:val="auto"/>
                <w:szCs w:val="21"/>
              </w:rPr>
              <w:t>800</w:t>
            </w:r>
          </w:p>
        </w:tc>
        <w:tc>
          <w:tcPr>
            <w:tcW w:w="2924" w:type="dxa"/>
            <w:vAlign w:val="center"/>
          </w:tcPr>
          <w:p>
            <w:pPr>
              <w:spacing w:line="276" w:lineRule="auto"/>
              <w:jc w:val="center"/>
              <w:rPr>
                <w:rFonts w:hint="eastAsia" w:ascii="宋体" w:hAnsi="宋体"/>
                <w:color w:val="auto"/>
                <w:szCs w:val="21"/>
              </w:rPr>
            </w:pPr>
            <w:r>
              <w:rPr>
                <w:rFonts w:hint="eastAsia" w:ascii="宋体" w:hAnsi="宋体"/>
                <w:color w:val="auto"/>
                <w:szCs w:val="21"/>
                <w:lang w:val="en-US" w:eastAsia="zh-CN"/>
              </w:rPr>
              <w:t>——</w:t>
            </w:r>
          </w:p>
        </w:tc>
        <w:tc>
          <w:tcPr>
            <w:tcW w:w="3271" w:type="dxa"/>
            <w:vAlign w:val="center"/>
          </w:tcPr>
          <w:p>
            <w:pPr>
              <w:spacing w:line="276" w:lineRule="auto"/>
              <w:jc w:val="center"/>
              <w:rPr>
                <w:rFonts w:hint="eastAsia" w:ascii="宋体" w:hAnsi="宋体"/>
                <w:color w:val="auto"/>
                <w:szCs w:val="21"/>
              </w:rPr>
            </w:pPr>
            <w:r>
              <w:rPr>
                <w:rFonts w:hint="eastAsia" w:ascii="宋体" w:hAnsi="宋体"/>
                <w:color w:val="auto"/>
                <w:szCs w:val="21"/>
                <w:lang w:val="en-US"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社会散居孤儿生活费月补助（元）</w:t>
            </w:r>
          </w:p>
        </w:tc>
        <w:tc>
          <w:tcPr>
            <w:tcW w:w="1005" w:type="dxa"/>
            <w:vAlign w:val="center"/>
          </w:tcPr>
          <w:p>
            <w:pPr>
              <w:spacing w:line="276" w:lineRule="auto"/>
              <w:jc w:val="center"/>
              <w:rPr>
                <w:rFonts w:hint="eastAsia"/>
              </w:rPr>
            </w:pPr>
            <w:r>
              <w:rPr>
                <w:rFonts w:hint="eastAsia" w:ascii="宋体" w:hAnsi="宋体"/>
                <w:color w:val="auto"/>
                <w:szCs w:val="21"/>
                <w:lang w:val="en-US"/>
              </w:rPr>
              <w:t>2</w:t>
            </w:r>
            <w:r>
              <w:rPr>
                <w:rFonts w:ascii="宋体" w:hAnsi="宋体"/>
                <w:color w:val="auto"/>
                <w:szCs w:val="21"/>
                <w:lang w:val="en-US"/>
              </w:rPr>
              <w:t>057</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2100</w:t>
            </w:r>
          </w:p>
        </w:tc>
        <w:tc>
          <w:tcPr>
            <w:tcW w:w="930" w:type="dxa"/>
            <w:vAlign w:val="center"/>
          </w:tcPr>
          <w:p>
            <w:pPr>
              <w:spacing w:line="276" w:lineRule="auto"/>
              <w:jc w:val="center"/>
              <w:rPr>
                <w:rFonts w:hint="eastAsia"/>
              </w:rPr>
            </w:pPr>
            <w:r>
              <w:rPr>
                <w:rFonts w:hint="eastAsia" w:ascii="宋体" w:hAnsi="宋体"/>
                <w:color w:val="auto"/>
                <w:szCs w:val="21"/>
              </w:rPr>
              <w:t>2</w:t>
            </w:r>
            <w:r>
              <w:rPr>
                <w:rFonts w:ascii="宋体" w:hAnsi="宋体"/>
                <w:color w:val="auto"/>
                <w:szCs w:val="21"/>
              </w:rPr>
              <w:t>200</w:t>
            </w:r>
          </w:p>
        </w:tc>
        <w:tc>
          <w:tcPr>
            <w:tcW w:w="2924" w:type="dxa"/>
            <w:vAlign w:val="center"/>
          </w:tcPr>
          <w:p>
            <w:pPr>
              <w:spacing w:line="276" w:lineRule="auto"/>
              <w:jc w:val="center"/>
              <w:rPr>
                <w:rFonts w:hint="eastAsia" w:ascii="宋体" w:hAnsi="宋体"/>
                <w:color w:val="auto"/>
                <w:szCs w:val="21"/>
              </w:rPr>
            </w:pPr>
            <w:r>
              <w:rPr>
                <w:rFonts w:hint="eastAsia" w:ascii="宋体" w:hAnsi="宋体"/>
                <w:color w:val="auto"/>
                <w:szCs w:val="21"/>
                <w:lang w:eastAsia="zh-CN"/>
              </w:rPr>
              <w:t>——</w:t>
            </w:r>
          </w:p>
        </w:tc>
        <w:tc>
          <w:tcPr>
            <w:tcW w:w="3271" w:type="dxa"/>
            <w:vAlign w:val="center"/>
          </w:tcPr>
          <w:p>
            <w:pPr>
              <w:spacing w:line="276" w:lineRule="auto"/>
              <w:jc w:val="center"/>
              <w:rPr>
                <w:rFonts w:hint="eastAsia" w:ascii="宋体" w:hAnsi="宋体"/>
                <w:color w:val="auto"/>
                <w:szCs w:val="21"/>
              </w:rPr>
            </w:pPr>
            <w:r>
              <w:rPr>
                <w:rFonts w:hint="eastAsia" w:ascii="宋体" w:hAnsi="宋体"/>
                <w:color w:val="auto"/>
                <w:szCs w:val="21"/>
                <w:lang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1"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镇街级未成年人保护工作站覆盖率（%）</w:t>
            </w:r>
          </w:p>
        </w:tc>
        <w:tc>
          <w:tcPr>
            <w:tcW w:w="1005" w:type="dxa"/>
            <w:vAlign w:val="center"/>
          </w:tcPr>
          <w:p>
            <w:pPr>
              <w:spacing w:line="276" w:lineRule="auto"/>
              <w:jc w:val="center"/>
              <w:rPr>
                <w:rFonts w:hint="eastAsia"/>
                <w:color w:val="auto"/>
              </w:rPr>
            </w:pPr>
            <w:r>
              <w:rPr>
                <w:rFonts w:hint="eastAsia" w:ascii="宋体" w:hAnsi="宋体"/>
                <w:color w:val="auto"/>
                <w:szCs w:val="21"/>
                <w:lang w:eastAsia="zh-CN"/>
              </w:rPr>
              <w:t>——</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100</w:t>
            </w:r>
          </w:p>
        </w:tc>
        <w:tc>
          <w:tcPr>
            <w:tcW w:w="930" w:type="dxa"/>
            <w:vAlign w:val="center"/>
          </w:tcPr>
          <w:p>
            <w:pPr>
              <w:spacing w:line="276" w:lineRule="auto"/>
              <w:jc w:val="center"/>
              <w:rPr>
                <w:rFonts w:hint="eastAsia"/>
                <w:color w:val="auto"/>
              </w:rPr>
            </w:pPr>
            <w:r>
              <w:rPr>
                <w:rFonts w:hint="eastAsia" w:ascii="宋体" w:hAnsi="宋体"/>
                <w:color w:val="auto"/>
                <w:szCs w:val="21"/>
              </w:rPr>
              <w:t>1</w:t>
            </w:r>
            <w:r>
              <w:rPr>
                <w:rFonts w:ascii="宋体" w:hAnsi="宋体"/>
                <w:color w:val="auto"/>
                <w:szCs w:val="21"/>
              </w:rPr>
              <w:t>00</w:t>
            </w:r>
          </w:p>
        </w:tc>
        <w:tc>
          <w:tcPr>
            <w:tcW w:w="2924" w:type="dxa"/>
            <w:vAlign w:val="center"/>
          </w:tcPr>
          <w:p>
            <w:pPr>
              <w:rPr>
                <w:rFonts w:hint="eastAsia" w:ascii="宋体" w:hAnsi="宋体"/>
                <w:color w:val="auto"/>
                <w:szCs w:val="21"/>
              </w:rPr>
            </w:pPr>
            <w:r>
              <w:rPr>
                <w:rFonts w:hint="eastAsia"/>
                <w:lang w:eastAsia="zh-CN"/>
              </w:rPr>
              <w:t>高标准建设体系。即</w:t>
            </w:r>
            <w:r>
              <w:rPr>
                <w:rFonts w:hint="eastAsia"/>
              </w:rPr>
              <w:t>有固定场所</w:t>
            </w:r>
            <w:r>
              <w:rPr>
                <w:rFonts w:hint="eastAsia"/>
                <w:lang w:eastAsia="zh-CN"/>
              </w:rPr>
              <w:t>、</w:t>
            </w:r>
            <w:r>
              <w:rPr>
                <w:rFonts w:hint="eastAsia"/>
              </w:rPr>
              <w:t>有专门队伍</w:t>
            </w:r>
            <w:r>
              <w:rPr>
                <w:rFonts w:hint="eastAsia"/>
                <w:lang w:eastAsia="zh-CN"/>
              </w:rPr>
              <w:t>、</w:t>
            </w:r>
            <w:r>
              <w:rPr>
                <w:rFonts w:hint="eastAsia"/>
              </w:rPr>
              <w:t>有经费保障</w:t>
            </w:r>
            <w:r>
              <w:rPr>
                <w:rFonts w:hint="eastAsia"/>
                <w:lang w:eastAsia="zh-CN"/>
              </w:rPr>
              <w:t>、</w:t>
            </w:r>
            <w:r>
              <w:rPr>
                <w:rFonts w:hint="eastAsia"/>
              </w:rPr>
              <w:t>有管理制度</w:t>
            </w:r>
            <w:r>
              <w:rPr>
                <w:rFonts w:hint="eastAsia"/>
                <w:lang w:eastAsia="zh-CN"/>
              </w:rPr>
              <w:t>、</w:t>
            </w:r>
            <w:r>
              <w:rPr>
                <w:rFonts w:hint="eastAsia"/>
              </w:rPr>
              <w:t>有服务开展</w:t>
            </w:r>
          </w:p>
        </w:tc>
        <w:tc>
          <w:tcPr>
            <w:tcW w:w="3271" w:type="dxa"/>
            <w:vAlign w:val="center"/>
          </w:tcPr>
          <w:p>
            <w:pPr>
              <w:spacing w:line="276" w:lineRule="auto"/>
              <w:jc w:val="center"/>
              <w:rPr>
                <w:rFonts w:hint="eastAsia" w:ascii="宋体" w:hAnsi="宋体"/>
                <w:color w:val="auto"/>
                <w:szCs w:val="21"/>
              </w:rPr>
            </w:pPr>
            <w:r>
              <w:rPr>
                <w:rFonts w:hint="eastAsia" w:ascii="宋体" w:hAnsi="宋体"/>
                <w:color w:val="auto"/>
                <w:szCs w:val="21"/>
              </w:rPr>
              <w:t>由民政、教育、妇联、派出所、司法所、团委等相关部门组成的镇街级未保协调机制</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镇街级示范型“儿童之家”（个）</w:t>
            </w:r>
          </w:p>
        </w:tc>
        <w:tc>
          <w:tcPr>
            <w:tcW w:w="1005" w:type="dxa"/>
            <w:vAlign w:val="center"/>
          </w:tcPr>
          <w:p>
            <w:pPr>
              <w:spacing w:line="276" w:lineRule="auto"/>
              <w:jc w:val="center"/>
              <w:rPr>
                <w:rFonts w:hint="eastAsia"/>
                <w:color w:val="auto"/>
              </w:rPr>
            </w:pPr>
            <w:r>
              <w:rPr>
                <w:rFonts w:hint="eastAsia" w:ascii="宋体" w:hAnsi="宋体"/>
                <w:color w:val="auto"/>
                <w:szCs w:val="21"/>
                <w:lang w:val="en-US" w:eastAsia="zh-CN"/>
              </w:rPr>
              <w:t>11</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35</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40</w:t>
            </w:r>
          </w:p>
        </w:tc>
        <w:tc>
          <w:tcPr>
            <w:tcW w:w="2924" w:type="dxa"/>
            <w:vAlign w:val="top"/>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“五优”标准建设体系。即环境优雅、设施优良、队伍优秀、服务优质、管理优效</w:t>
            </w:r>
          </w:p>
        </w:tc>
        <w:tc>
          <w:tcPr>
            <w:tcW w:w="3271" w:type="dxa"/>
            <w:vAlign w:val="top"/>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依托镇街服务中心、市民之家等设施，</w:t>
            </w:r>
            <w:r>
              <w:rPr>
                <w:rFonts w:hint="eastAsia" w:ascii="宋体" w:hAnsi="宋体"/>
                <w:color w:val="auto"/>
                <w:szCs w:val="21"/>
              </w:rPr>
              <w:t>单独建设或联建的形式布点创建，统筹规划、合理布局，优化模式</w:t>
            </w:r>
            <w:r>
              <w:rPr>
                <w:rFonts w:hint="eastAsia" w:ascii="宋体" w:hAnsi="宋体"/>
                <w:color w:val="auto"/>
                <w:szCs w:val="21"/>
                <w:lang w:val="en-US" w:eastAsia="zh-CN"/>
              </w:rPr>
              <w:t>，建设镇街级儿童关爱基地</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村社级基础型“儿童之家”（个）</w:t>
            </w:r>
          </w:p>
        </w:tc>
        <w:tc>
          <w:tcPr>
            <w:tcW w:w="1005" w:type="dxa"/>
            <w:vAlign w:val="center"/>
          </w:tcPr>
          <w:p>
            <w:pPr>
              <w:spacing w:line="276" w:lineRule="auto"/>
              <w:jc w:val="center"/>
              <w:rPr>
                <w:rFonts w:hint="eastAsia"/>
                <w:color w:val="auto"/>
              </w:rPr>
            </w:pPr>
            <w:r>
              <w:rPr>
                <w:rFonts w:hint="eastAsia" w:ascii="宋体" w:hAnsi="宋体"/>
                <w:color w:val="auto"/>
                <w:szCs w:val="21"/>
                <w:lang w:val="en-US" w:eastAsia="zh-CN"/>
              </w:rPr>
              <w:t>30</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140</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173</w:t>
            </w:r>
          </w:p>
        </w:tc>
        <w:tc>
          <w:tcPr>
            <w:tcW w:w="2924" w:type="dxa"/>
            <w:vAlign w:val="top"/>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“五有”标准建设体系。即有活动场地、有设施设备、有工作队伍、有基础服务、有常态管理</w:t>
            </w:r>
          </w:p>
        </w:tc>
        <w:tc>
          <w:tcPr>
            <w:tcW w:w="3271" w:type="dxa"/>
            <w:vAlign w:val="top"/>
          </w:tcPr>
          <w:p>
            <w:pPr>
              <w:spacing w:line="276" w:lineRule="auto"/>
              <w:jc w:val="center"/>
              <w:rPr>
                <w:rFonts w:hint="eastAsia" w:ascii="宋体" w:hAnsi="宋体"/>
                <w:color w:val="auto"/>
                <w:szCs w:val="21"/>
                <w:lang w:val="en-US" w:eastAsia="zh-CN"/>
              </w:rPr>
            </w:pPr>
            <w:r>
              <w:rPr>
                <w:rFonts w:hint="eastAsia" w:ascii="宋体" w:hAnsi="宋体"/>
                <w:color w:val="auto"/>
                <w:szCs w:val="21"/>
              </w:rPr>
              <w:t>依托村（社区）党群服务中心、新时代文明实践站、社区文化家园、农村文化礼堂、居家养老服务中心等设施，单独建设或联建的形式布点创建，统筹规划、合理布局，优化模式</w:t>
            </w:r>
            <w:r>
              <w:rPr>
                <w:rFonts w:hint="eastAsia" w:ascii="宋体" w:hAnsi="宋体"/>
                <w:color w:val="auto"/>
                <w:szCs w:val="21"/>
                <w:lang w:eastAsia="zh-CN"/>
              </w:rPr>
              <w:t>，建设村社级儿童关爱基地</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每万老年人配置认知障碍照护床位（个）</w:t>
            </w:r>
          </w:p>
        </w:tc>
        <w:tc>
          <w:tcPr>
            <w:tcW w:w="1005" w:type="dxa"/>
            <w:vAlign w:val="center"/>
          </w:tcPr>
          <w:p>
            <w:pPr>
              <w:spacing w:line="276" w:lineRule="auto"/>
              <w:jc w:val="center"/>
              <w:rPr>
                <w:rFonts w:hint="eastAsia"/>
                <w:color w:val="auto"/>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15</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21</w:t>
            </w:r>
          </w:p>
        </w:tc>
        <w:tc>
          <w:tcPr>
            <w:tcW w:w="2924"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居家社区机构相协调、医养康养相结合养老服务体系</w:t>
            </w:r>
          </w:p>
        </w:tc>
        <w:tc>
          <w:tcPr>
            <w:tcW w:w="3271" w:type="dxa"/>
            <w:vMerge w:val="restart"/>
            <w:vAlign w:val="center"/>
          </w:tcPr>
          <w:p>
            <w:pPr>
              <w:spacing w:line="276" w:lineRule="auto"/>
              <w:jc w:val="both"/>
              <w:rPr>
                <w:rFonts w:hint="eastAsia" w:ascii="宋体" w:hAnsi="宋体"/>
                <w:color w:val="auto"/>
                <w:szCs w:val="21"/>
                <w:lang w:val="en-US" w:eastAsia="zh-CN"/>
              </w:rPr>
            </w:pPr>
            <w:r>
              <w:rPr>
                <w:rFonts w:hint="eastAsia" w:ascii="宋体" w:hAnsi="宋体"/>
                <w:color w:val="auto"/>
                <w:szCs w:val="21"/>
                <w:lang w:val="en-US" w:eastAsia="zh-CN"/>
              </w:rPr>
              <w:t>1.完善财政保障机制</w:t>
            </w:r>
          </w:p>
          <w:p>
            <w:pPr>
              <w:spacing w:line="276" w:lineRule="auto"/>
              <w:jc w:val="both"/>
              <w:rPr>
                <w:rFonts w:hint="eastAsia" w:ascii="宋体" w:hAnsi="宋体"/>
                <w:color w:val="auto"/>
                <w:szCs w:val="21"/>
                <w:lang w:val="en-US" w:eastAsia="zh-CN"/>
              </w:rPr>
            </w:pPr>
            <w:r>
              <w:rPr>
                <w:rFonts w:hint="eastAsia" w:ascii="宋体" w:hAnsi="宋体"/>
                <w:color w:val="auto"/>
                <w:szCs w:val="21"/>
                <w:lang w:val="en-US" w:eastAsia="zh-CN"/>
              </w:rPr>
              <w:t>2.建立“一事一议”机制</w:t>
            </w:r>
          </w:p>
          <w:p>
            <w:pPr>
              <w:spacing w:line="276" w:lineRule="auto"/>
              <w:jc w:val="both"/>
              <w:rPr>
                <w:rFonts w:hint="eastAsia" w:ascii="宋体" w:hAnsi="宋体"/>
                <w:color w:val="auto"/>
                <w:szCs w:val="21"/>
                <w:lang w:val="en-US" w:eastAsia="zh-CN"/>
              </w:rPr>
            </w:pPr>
            <w:r>
              <w:rPr>
                <w:rFonts w:hint="eastAsia" w:ascii="宋体" w:hAnsi="宋体"/>
                <w:color w:val="auto"/>
                <w:szCs w:val="21"/>
                <w:lang w:val="en-US" w:eastAsia="zh-CN"/>
              </w:rPr>
              <w:t>3.创新“余小养”服务管理机制</w:t>
            </w:r>
          </w:p>
          <w:p>
            <w:pPr>
              <w:spacing w:line="276" w:lineRule="auto"/>
              <w:jc w:val="both"/>
              <w:rPr>
                <w:rFonts w:hint="eastAsia" w:ascii="宋体" w:hAnsi="宋体"/>
                <w:color w:val="auto"/>
                <w:szCs w:val="21"/>
                <w:lang w:val="en-US" w:eastAsia="zh-CN"/>
              </w:rPr>
            </w:pPr>
            <w:r>
              <w:rPr>
                <w:rFonts w:hint="eastAsia" w:ascii="宋体" w:hAnsi="宋体"/>
                <w:color w:val="auto"/>
                <w:szCs w:val="21"/>
                <w:lang w:val="en-US" w:eastAsia="zh-CN"/>
              </w:rPr>
              <w:t>4.落实多部门联合监管机制</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居家养老服务（照料）中心（家）</w:t>
            </w:r>
          </w:p>
        </w:tc>
        <w:tc>
          <w:tcPr>
            <w:tcW w:w="1005" w:type="dxa"/>
            <w:vAlign w:val="center"/>
          </w:tcPr>
          <w:p>
            <w:pPr>
              <w:spacing w:line="276" w:lineRule="auto"/>
              <w:jc w:val="center"/>
              <w:rPr>
                <w:rFonts w:hint="eastAsia"/>
                <w:color w:val="auto"/>
              </w:rPr>
            </w:pPr>
            <w:r>
              <w:rPr>
                <w:rFonts w:hint="eastAsia" w:ascii="宋体" w:hAnsi="宋体"/>
                <w:color w:val="auto"/>
                <w:szCs w:val="21"/>
                <w:lang w:val="en-US" w:eastAsia="zh-CN"/>
              </w:rPr>
              <w:t>117</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155</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185</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eastAsia="宋体" w:cs="宋体"/>
                <w:color w:val="auto"/>
                <w:szCs w:val="21"/>
              </w:rPr>
              <w:t>注册</w:t>
            </w:r>
            <w:r>
              <w:rPr>
                <w:rFonts w:hint="eastAsia" w:ascii="宋体" w:hAnsi="宋体"/>
                <w:color w:val="auto"/>
                <w:szCs w:val="21"/>
              </w:rPr>
              <w:t>慈善公益组织数量（个）</w:t>
            </w:r>
          </w:p>
        </w:tc>
        <w:tc>
          <w:tcPr>
            <w:tcW w:w="1005" w:type="dxa"/>
            <w:vAlign w:val="center"/>
          </w:tcPr>
          <w:p>
            <w:pPr>
              <w:spacing w:line="276" w:lineRule="auto"/>
              <w:jc w:val="center"/>
              <w:rPr>
                <w:rFonts w:hint="eastAsia"/>
                <w:color w:val="auto"/>
              </w:rPr>
            </w:pPr>
            <w:r>
              <w:rPr>
                <w:rFonts w:hint="eastAsia" w:ascii="宋体" w:hAnsi="宋体"/>
                <w:color w:val="auto"/>
                <w:szCs w:val="21"/>
                <w:highlight w:val="none"/>
                <w:lang w:val="en-US" w:eastAsia="zh-CN"/>
              </w:rPr>
              <w:t>14</w:t>
            </w:r>
          </w:p>
        </w:tc>
        <w:tc>
          <w:tcPr>
            <w:tcW w:w="1006" w:type="dxa"/>
            <w:vAlign w:val="center"/>
          </w:tcPr>
          <w:p>
            <w:pPr>
              <w:spacing w:line="276" w:lineRule="auto"/>
              <w:jc w:val="center"/>
              <w:rPr>
                <w:rFonts w:hint="eastAsia"/>
                <w:color w:val="auto"/>
              </w:rPr>
            </w:pPr>
            <w:r>
              <w:rPr>
                <w:rFonts w:hint="eastAsia" w:ascii="宋体" w:hAnsi="宋体"/>
                <w:color w:val="auto"/>
                <w:szCs w:val="21"/>
                <w:highlight w:val="none"/>
                <w:lang w:val="en-US" w:eastAsia="zh-CN"/>
              </w:rPr>
              <w:t>20</w:t>
            </w:r>
          </w:p>
        </w:tc>
        <w:tc>
          <w:tcPr>
            <w:tcW w:w="930" w:type="dxa"/>
            <w:vAlign w:val="center"/>
          </w:tcPr>
          <w:p>
            <w:pPr>
              <w:spacing w:line="276" w:lineRule="auto"/>
              <w:jc w:val="center"/>
              <w:rPr>
                <w:rFonts w:hint="eastAsia"/>
                <w:color w:val="auto"/>
              </w:rPr>
            </w:pPr>
            <w:r>
              <w:rPr>
                <w:rFonts w:hint="eastAsia" w:ascii="宋体" w:hAnsi="宋体"/>
                <w:color w:val="auto"/>
                <w:szCs w:val="21"/>
                <w:highlight w:val="none"/>
                <w:lang w:val="en-US" w:eastAsia="zh-CN"/>
              </w:rPr>
              <w:t>30</w:t>
            </w:r>
          </w:p>
        </w:tc>
        <w:tc>
          <w:tcPr>
            <w:tcW w:w="2924" w:type="dxa"/>
            <w:vAlign w:val="center"/>
          </w:tcPr>
          <w:p>
            <w:pPr>
              <w:spacing w:line="276" w:lineRule="auto"/>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w:t>
            </w:r>
          </w:p>
        </w:tc>
        <w:tc>
          <w:tcPr>
            <w:tcW w:w="3271" w:type="dxa"/>
            <w:vAlign w:val="center"/>
          </w:tcPr>
          <w:p>
            <w:pPr>
              <w:spacing w:line="276" w:lineRule="auto"/>
              <w:jc w:val="center"/>
              <w:rPr>
                <w:rFonts w:hint="eastAsia" w:ascii="宋体" w:hAnsi="宋体"/>
                <w:color w:val="auto"/>
                <w:szCs w:val="21"/>
                <w:highlight w:val="none"/>
                <w:lang w:val="en-US" w:eastAsia="zh-CN"/>
              </w:rPr>
            </w:pPr>
            <w:r>
              <w:rPr>
                <w:rFonts w:hint="eastAsia" w:ascii="宋体" w:hAnsi="宋体"/>
                <w:color w:val="auto"/>
                <w:szCs w:val="21"/>
                <w:highlight w:val="none"/>
                <w:lang w:val="en-US" w:eastAsia="zh-CN"/>
              </w:rPr>
              <w:t>——</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镇街级社会工作站建设（个）</w:t>
            </w:r>
          </w:p>
        </w:tc>
        <w:tc>
          <w:tcPr>
            <w:tcW w:w="1005" w:type="dxa"/>
            <w:vAlign w:val="center"/>
          </w:tcPr>
          <w:p>
            <w:pPr>
              <w:spacing w:line="276" w:lineRule="auto"/>
              <w:jc w:val="center"/>
              <w:rPr>
                <w:rFonts w:hint="eastAsia"/>
                <w:color w:val="auto"/>
              </w:rPr>
            </w:pPr>
            <w:r>
              <w:rPr>
                <w:rFonts w:hint="eastAsia" w:ascii="宋体" w:hAnsi="宋体"/>
                <w:color w:val="auto"/>
                <w:szCs w:val="21"/>
              </w:rPr>
              <w:t>2</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12</w:t>
            </w:r>
          </w:p>
        </w:tc>
        <w:tc>
          <w:tcPr>
            <w:tcW w:w="930" w:type="dxa"/>
            <w:vAlign w:val="center"/>
          </w:tcPr>
          <w:p>
            <w:pPr>
              <w:spacing w:line="276" w:lineRule="auto"/>
              <w:jc w:val="center"/>
              <w:rPr>
                <w:rFonts w:hint="eastAsia"/>
                <w:color w:val="auto"/>
              </w:rPr>
            </w:pPr>
            <w:r>
              <w:rPr>
                <w:rFonts w:hint="eastAsia" w:ascii="宋体" w:hAnsi="宋体"/>
                <w:color w:val="auto"/>
                <w:szCs w:val="21"/>
              </w:rPr>
              <w:t>1</w:t>
            </w:r>
            <w:r>
              <w:rPr>
                <w:rFonts w:ascii="宋体" w:hAnsi="宋体"/>
                <w:color w:val="auto"/>
                <w:szCs w:val="21"/>
              </w:rPr>
              <w:t>2</w:t>
            </w:r>
          </w:p>
        </w:tc>
        <w:tc>
          <w:tcPr>
            <w:tcW w:w="2924" w:type="dxa"/>
            <w:vMerge w:val="restart"/>
            <w:vAlign w:val="center"/>
          </w:tcPr>
          <w:p>
            <w:pPr>
              <w:spacing w:line="276" w:lineRule="auto"/>
              <w:jc w:val="center"/>
              <w:rPr>
                <w:rFonts w:hint="eastAsia" w:ascii="宋体" w:hAnsi="宋体"/>
                <w:color w:val="auto"/>
                <w:szCs w:val="21"/>
              </w:rPr>
            </w:pPr>
            <w:r>
              <w:rPr>
                <w:rFonts w:hint="eastAsia" w:ascii="宋体" w:hAnsi="宋体"/>
                <w:color w:val="auto"/>
                <w:szCs w:val="21"/>
              </w:rPr>
              <w:t>建立“共建共治共享”的基层社会治理体系</w:t>
            </w:r>
          </w:p>
        </w:tc>
        <w:tc>
          <w:tcPr>
            <w:tcW w:w="3271" w:type="dxa"/>
            <w:vMerge w:val="restart"/>
            <w:vAlign w:val="center"/>
          </w:tcPr>
          <w:p>
            <w:pPr>
              <w:spacing w:line="276" w:lineRule="auto"/>
              <w:jc w:val="center"/>
              <w:rPr>
                <w:rFonts w:hint="eastAsia" w:ascii="宋体" w:hAnsi="宋体"/>
                <w:color w:val="auto"/>
                <w:szCs w:val="21"/>
              </w:rPr>
            </w:pPr>
            <w:r>
              <w:rPr>
                <w:rFonts w:hint="eastAsia" w:ascii="宋体" w:hAnsi="宋体"/>
                <w:color w:val="auto"/>
                <w:szCs w:val="21"/>
              </w:rPr>
              <w:t>以“市民客厅”、“居民驿站”两级邻里服务综合体和社会工作站（室）等为抓手，打造融社区公共服务、居民自助互助服务、社区商业服务、社会工作专业服务等多功能于一体的综合性服务中心</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村社级社会工作室建设（个）</w:t>
            </w:r>
          </w:p>
        </w:tc>
        <w:tc>
          <w:tcPr>
            <w:tcW w:w="1005" w:type="dxa"/>
            <w:vAlign w:val="center"/>
          </w:tcPr>
          <w:p>
            <w:pPr>
              <w:spacing w:line="276" w:lineRule="auto"/>
              <w:jc w:val="center"/>
              <w:rPr>
                <w:rFonts w:hint="eastAsia"/>
                <w:color w:val="auto"/>
              </w:rPr>
            </w:pPr>
            <w:r>
              <w:rPr>
                <w:rFonts w:ascii="宋体" w:hAnsi="宋体"/>
                <w:color w:val="auto"/>
                <w:szCs w:val="21"/>
              </w:rPr>
              <w:t>4</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16</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28</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ascii="宋体" w:hAnsi="宋体" w:eastAsia="宋体"/>
                <w:color w:val="auto"/>
                <w:szCs w:val="21"/>
                <w:lang w:eastAsia="zh-CN"/>
              </w:rPr>
            </w:pPr>
            <w:r>
              <w:rPr>
                <w:rFonts w:hint="eastAsia" w:ascii="宋体" w:hAnsi="宋体"/>
                <w:color w:val="auto"/>
                <w:szCs w:val="21"/>
                <w:lang w:eastAsia="zh-CN"/>
              </w:rPr>
              <w:t>大中型骨灰存放室（个）</w:t>
            </w:r>
          </w:p>
        </w:tc>
        <w:tc>
          <w:tcPr>
            <w:tcW w:w="1005" w:type="dxa"/>
            <w:vAlign w:val="center"/>
          </w:tcPr>
          <w:p>
            <w:pPr>
              <w:spacing w:line="276" w:lineRule="auto"/>
              <w:jc w:val="center"/>
              <w:rPr>
                <w:rFonts w:hint="eastAsia" w:ascii="宋体" w:hAnsi="宋体" w:eastAsia="宋体"/>
                <w:color w:val="auto"/>
                <w:szCs w:val="21"/>
                <w:lang w:val="en-US" w:eastAsia="zh-CN"/>
              </w:rPr>
            </w:pPr>
            <w:r>
              <w:rPr>
                <w:rFonts w:hint="eastAsia" w:ascii="宋体" w:hAnsi="宋体"/>
                <w:color w:val="auto"/>
                <w:szCs w:val="21"/>
                <w:lang w:val="en-US" w:eastAsia="zh-CN"/>
              </w:rPr>
              <w:t>1</w:t>
            </w:r>
          </w:p>
        </w:tc>
        <w:tc>
          <w:tcPr>
            <w:tcW w:w="1006"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4</w:t>
            </w:r>
          </w:p>
        </w:tc>
        <w:tc>
          <w:tcPr>
            <w:tcW w:w="930"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6</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惠民殡葬和提标增项扩面工作体系</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强化殡葬设施的公益属性，大力推动城乡大中型公益骨灰存放室建设，实现逝者从火化到入葬，全流程基本项目免费</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color w:val="auto"/>
              </w:rPr>
            </w:pPr>
            <w:r>
              <w:rPr>
                <w:rFonts w:hint="eastAsia" w:ascii="宋体" w:hAnsi="宋体"/>
                <w:color w:val="auto"/>
                <w:szCs w:val="21"/>
              </w:rPr>
              <w:t>新时代美丽移民村建设（个）</w:t>
            </w:r>
          </w:p>
        </w:tc>
        <w:tc>
          <w:tcPr>
            <w:tcW w:w="1005" w:type="dxa"/>
            <w:vAlign w:val="center"/>
          </w:tcPr>
          <w:p>
            <w:pPr>
              <w:spacing w:line="276" w:lineRule="auto"/>
              <w:jc w:val="center"/>
              <w:rPr>
                <w:rFonts w:hint="eastAsia"/>
                <w:color w:val="auto"/>
              </w:rPr>
            </w:pPr>
            <w:r>
              <w:rPr>
                <w:rFonts w:hint="eastAsia" w:ascii="宋体" w:hAnsi="宋体"/>
                <w:color w:val="auto"/>
                <w:szCs w:val="21"/>
                <w:lang w:val="en-US" w:eastAsia="zh-CN"/>
              </w:rPr>
              <w:t>2</w:t>
            </w:r>
          </w:p>
        </w:tc>
        <w:tc>
          <w:tcPr>
            <w:tcW w:w="1006" w:type="dxa"/>
            <w:vAlign w:val="center"/>
          </w:tcPr>
          <w:p>
            <w:pPr>
              <w:spacing w:line="276" w:lineRule="auto"/>
              <w:jc w:val="center"/>
              <w:rPr>
                <w:rFonts w:hint="eastAsia"/>
                <w:color w:val="auto"/>
              </w:rPr>
            </w:pPr>
            <w:r>
              <w:rPr>
                <w:rFonts w:hint="eastAsia" w:ascii="宋体" w:hAnsi="宋体"/>
                <w:color w:val="auto"/>
                <w:szCs w:val="21"/>
                <w:lang w:val="en-US" w:eastAsia="zh-CN"/>
              </w:rPr>
              <w:t>4</w:t>
            </w:r>
          </w:p>
        </w:tc>
        <w:tc>
          <w:tcPr>
            <w:tcW w:w="930" w:type="dxa"/>
            <w:vAlign w:val="center"/>
          </w:tcPr>
          <w:p>
            <w:pPr>
              <w:spacing w:line="276" w:lineRule="auto"/>
              <w:jc w:val="center"/>
              <w:rPr>
                <w:rFonts w:hint="eastAsia"/>
                <w:color w:val="auto"/>
              </w:rPr>
            </w:pPr>
            <w:r>
              <w:rPr>
                <w:rFonts w:hint="eastAsia" w:ascii="宋体" w:hAnsi="宋体"/>
                <w:color w:val="auto"/>
                <w:szCs w:val="21"/>
                <w:lang w:val="en-US" w:eastAsia="zh-CN"/>
              </w:rPr>
              <w:t>6</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“绿水青山移民共富”工作体系</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以新时代美丽移民村建设、产业转型升级为重点，整合各类资源，充分发挥移民后期扶持政策叠加作用，高标准建成一批水库移民共同富裕示范项目，有力推动移民村持续发展，确保水库移民后期扶持政策中长期目标如期实现，努力为共同富裕示范区建设提供“最佳实践”</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restart"/>
            <w:vAlign w:val="center"/>
          </w:tcPr>
          <w:p>
            <w:pPr>
              <w:spacing w:line="360" w:lineRule="auto"/>
              <w:jc w:val="center"/>
              <w:rPr>
                <w:rFonts w:hint="eastAsia" w:eastAsia="宋体"/>
                <w:lang w:eastAsia="zh-CN"/>
              </w:rPr>
            </w:pPr>
            <w:r>
              <w:rPr>
                <w:rFonts w:hint="eastAsia"/>
                <w:b/>
                <w:bCs/>
                <w:lang w:eastAsia="zh-CN"/>
              </w:rPr>
              <w:t>示范性项目</w:t>
            </w:r>
          </w:p>
        </w:tc>
        <w:tc>
          <w:tcPr>
            <w:tcW w:w="2766" w:type="dxa"/>
            <w:vAlign w:val="center"/>
          </w:tcPr>
          <w:p>
            <w:pPr>
              <w:spacing w:line="276" w:lineRule="auto"/>
              <w:jc w:val="left"/>
              <w:rPr>
                <w:rFonts w:hint="eastAsia"/>
              </w:rPr>
            </w:pPr>
            <w:r>
              <w:rPr>
                <w:rFonts w:hint="eastAsia" w:ascii="宋体" w:hAnsi="宋体"/>
                <w:color w:val="auto"/>
                <w:szCs w:val="21"/>
              </w:rPr>
              <w:t>救助服务联合体建设（个）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6</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12</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依托助联体，线上+线下”相结合，打造协同救助、资源匹配和帮扶共建体系</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打造区县级、镇街级、村社三级助联体救助机制</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“智慧养老院“建设（个）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1</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7</w:t>
            </w:r>
          </w:p>
        </w:tc>
        <w:tc>
          <w:tcPr>
            <w:tcW w:w="2924"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1.居家社区机构相协调、医养康养相结合养老服务体系</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2.智慧养老服务体系</w:t>
            </w:r>
          </w:p>
        </w:tc>
        <w:tc>
          <w:tcPr>
            <w:tcW w:w="3271"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1.创新“余小养”服务管理机制</w:t>
            </w:r>
          </w:p>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2.落实多部门联合监管机制</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ascii="宋体" w:hAnsi="宋体" w:eastAsia="宋体"/>
                <w:color w:val="auto"/>
                <w:szCs w:val="21"/>
                <w:lang w:eastAsia="zh-CN"/>
              </w:rPr>
            </w:pPr>
            <w:r>
              <w:rPr>
                <w:rFonts w:hint="eastAsia" w:ascii="宋体" w:hAnsi="宋体"/>
                <w:color w:val="auto"/>
                <w:szCs w:val="21"/>
                <w:lang w:eastAsia="zh-CN"/>
              </w:rPr>
              <w:t>“智慧养老小区”建设（个）</w:t>
            </w:r>
          </w:p>
        </w:tc>
        <w:tc>
          <w:tcPr>
            <w:tcW w:w="1005"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w:t>
            </w:r>
          </w:p>
        </w:tc>
        <w:tc>
          <w:tcPr>
            <w:tcW w:w="930"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12</w:t>
            </w:r>
          </w:p>
        </w:tc>
        <w:tc>
          <w:tcPr>
            <w:tcW w:w="2924" w:type="dxa"/>
            <w:vMerge w:val="continue"/>
            <w:vAlign w:val="center"/>
          </w:tcPr>
          <w:p>
            <w:pPr>
              <w:spacing w:line="276" w:lineRule="auto"/>
              <w:jc w:val="center"/>
              <w:rPr>
                <w:rFonts w:hint="eastAsia" w:ascii="宋体" w:hAnsi="宋体"/>
                <w:color w:val="auto"/>
                <w:szCs w:val="21"/>
                <w:lang w:val="en-US" w:eastAsia="zh-CN"/>
              </w:rPr>
            </w:pPr>
          </w:p>
        </w:tc>
        <w:tc>
          <w:tcPr>
            <w:tcW w:w="3271" w:type="dxa"/>
            <w:vMerge w:val="continue"/>
            <w:vAlign w:val="center"/>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both"/>
              <w:rPr>
                <w:rFonts w:hint="eastAsia"/>
              </w:rPr>
            </w:pPr>
            <w:r>
              <w:rPr>
                <w:rFonts w:hint="eastAsia" w:ascii="宋体" w:hAnsi="宋体"/>
                <w:color w:val="auto"/>
                <w:szCs w:val="21"/>
              </w:rPr>
              <w:t>社区发展基金会建设（个）</w:t>
            </w:r>
          </w:p>
        </w:tc>
        <w:tc>
          <w:tcPr>
            <w:tcW w:w="1005" w:type="dxa"/>
            <w:vAlign w:val="center"/>
          </w:tcPr>
          <w:p>
            <w:pPr>
              <w:spacing w:line="276" w:lineRule="auto"/>
              <w:jc w:val="center"/>
              <w:rPr>
                <w:rFonts w:hint="eastAsia"/>
              </w:rPr>
            </w:pPr>
            <w:r>
              <w:rPr>
                <w:rFonts w:hint="eastAsia" w:ascii="宋体" w:hAnsi="宋体"/>
                <w:color w:val="auto"/>
                <w:szCs w:val="21"/>
              </w:rPr>
              <w:t>6</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12</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13</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建立社会组织资源整合体系</w:t>
            </w:r>
          </w:p>
        </w:tc>
        <w:tc>
          <w:tcPr>
            <w:tcW w:w="3271"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发挥社区基金会聚集社会资源的重要作用，助力和推动基层多方主体参与社会治理、满足社区个性化需求，加强社区基金会和镇街社会组织服务中心联合协作</w:t>
            </w:r>
          </w:p>
        </w:tc>
        <w:tc>
          <w:tcPr>
            <w:tcW w:w="854" w:type="dxa"/>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eastAsia="宋体" w:cs="宋体"/>
                <w:color w:val="auto"/>
                <w:szCs w:val="21"/>
              </w:rPr>
              <w:t>“</w:t>
            </w:r>
            <w:r>
              <w:rPr>
                <w:rFonts w:hint="eastAsia" w:ascii="宋体" w:hAnsi="宋体"/>
                <w:color w:val="auto"/>
                <w:szCs w:val="21"/>
              </w:rPr>
              <w:t>市民客厅”建设（个）</w:t>
            </w:r>
          </w:p>
        </w:tc>
        <w:tc>
          <w:tcPr>
            <w:tcW w:w="1005" w:type="dxa"/>
            <w:vAlign w:val="center"/>
          </w:tcPr>
          <w:p>
            <w:pPr>
              <w:spacing w:line="276" w:lineRule="auto"/>
              <w:jc w:val="center"/>
              <w:rPr>
                <w:rFonts w:hint="eastAsia"/>
              </w:rPr>
            </w:pPr>
            <w:r>
              <w:rPr>
                <w:rFonts w:hint="eastAsia" w:ascii="宋体" w:hAnsi="宋体"/>
                <w:color w:val="auto"/>
                <w:szCs w:val="21"/>
              </w:rPr>
              <w:t>4</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5</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8</w:t>
            </w:r>
          </w:p>
        </w:tc>
        <w:tc>
          <w:tcPr>
            <w:tcW w:w="2924"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建立“共建共治共享”的基层社会治理体系</w:t>
            </w:r>
          </w:p>
        </w:tc>
        <w:tc>
          <w:tcPr>
            <w:tcW w:w="3271" w:type="dxa"/>
            <w:vMerge w:val="restart"/>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以“市民客厅”、“居民驿站”两级邻里服务综合体和社会工作站（室）等为抓手，打造融社区公共服务、居民自助互助服务、社区商业服务、社会工作专业服务等多功能于一体的综合性服务中心</w:t>
            </w:r>
          </w:p>
        </w:tc>
        <w:tc>
          <w:tcPr>
            <w:tcW w:w="854" w:type="dxa"/>
            <w:vMerge w:val="restart"/>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ascii="宋体" w:hAnsi="宋体"/>
                <w:color w:val="auto"/>
                <w:szCs w:val="21"/>
              </w:rPr>
              <w:t>“</w:t>
            </w:r>
            <w:r>
              <w:rPr>
                <w:rFonts w:hint="eastAsia" w:ascii="宋体" w:hAnsi="宋体"/>
                <w:color w:val="auto"/>
                <w:szCs w:val="21"/>
              </w:rPr>
              <w:t>居民驿站</w:t>
            </w:r>
            <w:r>
              <w:rPr>
                <w:rFonts w:ascii="宋体" w:hAnsi="宋体"/>
                <w:color w:val="auto"/>
                <w:szCs w:val="21"/>
              </w:rPr>
              <w:t>”</w:t>
            </w:r>
            <w:r>
              <w:rPr>
                <w:rFonts w:hint="eastAsia" w:ascii="宋体" w:hAnsi="宋体"/>
                <w:color w:val="auto"/>
                <w:szCs w:val="21"/>
              </w:rPr>
              <w:t>建设（个）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8</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20</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40</w:t>
            </w:r>
          </w:p>
        </w:tc>
        <w:tc>
          <w:tcPr>
            <w:tcW w:w="2924" w:type="dxa"/>
            <w:vMerge w:val="continue"/>
            <w:vAlign w:val="top"/>
          </w:tcPr>
          <w:p>
            <w:pPr>
              <w:spacing w:line="276" w:lineRule="auto"/>
              <w:jc w:val="center"/>
              <w:rPr>
                <w:rFonts w:hint="eastAsia" w:ascii="宋体" w:hAnsi="宋体"/>
                <w:color w:val="auto"/>
                <w:szCs w:val="21"/>
                <w:lang w:val="en-US" w:eastAsia="zh-CN"/>
              </w:rPr>
            </w:pPr>
          </w:p>
        </w:tc>
        <w:tc>
          <w:tcPr>
            <w:tcW w:w="3271" w:type="dxa"/>
            <w:vMerge w:val="continue"/>
            <w:vAlign w:val="top"/>
          </w:tcPr>
          <w:p>
            <w:pPr>
              <w:spacing w:line="276" w:lineRule="auto"/>
              <w:jc w:val="center"/>
              <w:rPr>
                <w:rFonts w:hint="eastAsia" w:ascii="宋体" w:hAnsi="宋体"/>
                <w:color w:val="auto"/>
                <w:szCs w:val="21"/>
                <w:lang w:val="en-US" w:eastAsia="zh-CN"/>
              </w:rPr>
            </w:pPr>
          </w:p>
        </w:tc>
        <w:tc>
          <w:tcPr>
            <w:tcW w:w="854" w:type="dxa"/>
            <w:vMerge w:val="continue"/>
            <w:vAlign w:val="top"/>
          </w:tcPr>
          <w:p>
            <w:pPr>
              <w:spacing w:line="360" w:lineRule="auto"/>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1299" w:type="dxa"/>
            <w:vMerge w:val="continue"/>
            <w:vAlign w:val="top"/>
          </w:tcPr>
          <w:p>
            <w:pPr>
              <w:spacing w:line="360" w:lineRule="auto"/>
              <w:rPr>
                <w:rFonts w:hint="eastAsia"/>
              </w:rPr>
            </w:pPr>
          </w:p>
        </w:tc>
        <w:tc>
          <w:tcPr>
            <w:tcW w:w="2766" w:type="dxa"/>
            <w:vAlign w:val="center"/>
          </w:tcPr>
          <w:p>
            <w:pPr>
              <w:spacing w:line="276" w:lineRule="auto"/>
              <w:jc w:val="left"/>
              <w:rPr>
                <w:rFonts w:hint="eastAsia"/>
              </w:rPr>
            </w:pPr>
            <w:r>
              <w:rPr>
                <w:rFonts w:hint="eastAsia" w:ascii="宋体" w:hAnsi="宋体"/>
                <w:color w:val="auto"/>
                <w:szCs w:val="21"/>
              </w:rPr>
              <w:t>省级公益性节地生态安葬示范点建设</w:t>
            </w:r>
            <w:r>
              <w:rPr>
                <w:rFonts w:hint="eastAsia" w:ascii="宋体" w:hAnsi="宋体"/>
                <w:color w:val="auto"/>
                <w:szCs w:val="21"/>
                <w:lang w:eastAsia="zh-CN"/>
              </w:rPr>
              <w:t>（个）</w:t>
            </w:r>
          </w:p>
        </w:tc>
        <w:tc>
          <w:tcPr>
            <w:tcW w:w="1005" w:type="dxa"/>
            <w:vAlign w:val="center"/>
          </w:tcPr>
          <w:p>
            <w:pPr>
              <w:spacing w:line="276" w:lineRule="auto"/>
              <w:jc w:val="center"/>
              <w:rPr>
                <w:rFonts w:hint="eastAsia"/>
              </w:rPr>
            </w:pPr>
            <w:r>
              <w:rPr>
                <w:rFonts w:hint="eastAsia" w:ascii="宋体" w:hAnsi="宋体"/>
                <w:color w:val="auto"/>
                <w:szCs w:val="21"/>
                <w:lang w:val="en-US" w:eastAsia="zh-CN"/>
              </w:rPr>
              <w:t>0</w:t>
            </w:r>
          </w:p>
        </w:tc>
        <w:tc>
          <w:tcPr>
            <w:tcW w:w="1006" w:type="dxa"/>
            <w:vAlign w:val="center"/>
          </w:tcPr>
          <w:p>
            <w:pPr>
              <w:spacing w:line="276" w:lineRule="auto"/>
              <w:jc w:val="center"/>
              <w:rPr>
                <w:rFonts w:hint="eastAsia"/>
              </w:rPr>
            </w:pPr>
            <w:r>
              <w:rPr>
                <w:rFonts w:hint="eastAsia" w:ascii="宋体" w:hAnsi="宋体"/>
                <w:color w:val="auto"/>
                <w:szCs w:val="21"/>
                <w:lang w:val="en-US" w:eastAsia="zh-CN"/>
              </w:rPr>
              <w:t>3</w:t>
            </w:r>
          </w:p>
        </w:tc>
        <w:tc>
          <w:tcPr>
            <w:tcW w:w="930" w:type="dxa"/>
            <w:vAlign w:val="center"/>
          </w:tcPr>
          <w:p>
            <w:pPr>
              <w:spacing w:line="276" w:lineRule="auto"/>
              <w:jc w:val="center"/>
              <w:rPr>
                <w:rFonts w:hint="eastAsia"/>
              </w:rPr>
            </w:pPr>
            <w:r>
              <w:rPr>
                <w:rFonts w:hint="eastAsia" w:ascii="宋体" w:hAnsi="宋体"/>
                <w:color w:val="auto"/>
                <w:szCs w:val="21"/>
                <w:lang w:val="en-US" w:eastAsia="zh-CN"/>
              </w:rPr>
              <w:t>5</w:t>
            </w:r>
          </w:p>
        </w:tc>
        <w:tc>
          <w:tcPr>
            <w:tcW w:w="2924" w:type="dxa"/>
            <w:vAlign w:val="center"/>
          </w:tcPr>
          <w:p>
            <w:pPr>
              <w:spacing w:line="276" w:lineRule="auto"/>
              <w:jc w:val="center"/>
              <w:rPr>
                <w:rFonts w:hint="eastAsia" w:ascii="宋体" w:hAnsi="宋体"/>
                <w:color w:val="auto"/>
                <w:szCs w:val="21"/>
                <w:lang w:val="en-US" w:eastAsia="zh-CN"/>
              </w:rPr>
            </w:pPr>
            <w:r>
              <w:rPr>
                <w:rFonts w:hint="eastAsia" w:ascii="宋体" w:hAnsi="宋体"/>
                <w:color w:val="auto"/>
                <w:szCs w:val="21"/>
                <w:lang w:val="en-US" w:eastAsia="zh-CN"/>
              </w:rPr>
              <w:t>惠民殡葬和提标增项扩面工作体系</w:t>
            </w:r>
          </w:p>
        </w:tc>
        <w:tc>
          <w:tcPr>
            <w:tcW w:w="3271" w:type="dxa"/>
            <w:vAlign w:val="top"/>
          </w:tcPr>
          <w:p>
            <w:pPr>
              <w:spacing w:line="276" w:lineRule="auto"/>
              <w:jc w:val="left"/>
              <w:rPr>
                <w:rFonts w:hint="eastAsia" w:ascii="宋体" w:hAnsi="宋体"/>
                <w:color w:val="auto"/>
                <w:szCs w:val="21"/>
                <w:lang w:val="en-US" w:eastAsia="zh-CN"/>
              </w:rPr>
            </w:pPr>
            <w:r>
              <w:rPr>
                <w:rFonts w:hint="eastAsia" w:ascii="宋体" w:hAnsi="宋体"/>
                <w:color w:val="auto"/>
                <w:szCs w:val="21"/>
                <w:lang w:val="en-US" w:eastAsia="zh-CN"/>
              </w:rPr>
              <w:t>强化殡葬设施的公益属性，大力推动城乡大中型公益骨灰存放室建设，实现逝者从火化到入葬，全流程基本项目免费</w:t>
            </w:r>
          </w:p>
        </w:tc>
        <w:tc>
          <w:tcPr>
            <w:tcW w:w="854" w:type="dxa"/>
            <w:vAlign w:val="top"/>
          </w:tcPr>
          <w:p>
            <w:pPr>
              <w:spacing w:line="360" w:lineRule="auto"/>
              <w:rPr>
                <w:rFonts w:hint="eastAsia"/>
              </w:rPr>
            </w:pPr>
          </w:p>
        </w:tc>
      </w:tr>
    </w:tbl>
    <w:p>
      <w:pPr>
        <w:jc w:val="both"/>
        <w:rPr>
          <w:rFonts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bookmarkEnd w:id="11"/>
    </w:p>
    <w:sectPr>
      <w:pgSz w:w="16838" w:h="11906" w:orient="landscape"/>
      <w:pgMar w:top="1800" w:right="1440" w:bottom="1800" w:left="144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8701EBD-6682-481B-A8F6-A7750B19624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embedRegular r:id="rId2" w:fontKey="{8D3BF4B9-5C95-4816-A129-F197AF084CB9}"/>
  </w:font>
  <w:font w:name="仿宋">
    <w:panose1 w:val="02010609060101010101"/>
    <w:charset w:val="86"/>
    <w:family w:val="auto"/>
    <w:pitch w:val="default"/>
    <w:sig w:usb0="800002BF" w:usb1="38CF7CFA" w:usb2="00000016" w:usb3="00000000" w:csb0="00040001" w:csb1="00000000"/>
    <w:embedRegular r:id="rId3" w:fontKey="{7DBB5D40-B5DE-4283-9658-9D5B07EF30BD}"/>
  </w:font>
  <w:font w:name="楷体_GB2312">
    <w:altName w:val="楷体"/>
    <w:panose1 w:val="02010609030101010101"/>
    <w:charset w:val="86"/>
    <w:family w:val="auto"/>
    <w:pitch w:val="default"/>
    <w:sig w:usb0="00000000" w:usb1="00000000" w:usb2="00000000" w:usb3="00000000" w:csb0="00040000" w:csb1="00000000"/>
    <w:embedRegular r:id="rId4" w:fontKey="{65E634DB-7066-48BA-9CA4-3E2C42EB13C8}"/>
  </w:font>
  <w:font w:name="楷体">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5" w:fontKey="{5DB8B488-38A8-44D4-83D4-B2C7D853632B}"/>
  </w:font>
  <w:font w:name="方正小标宋_GBK">
    <w:panose1 w:val="02000000000000000000"/>
    <w:charset w:val="86"/>
    <w:family w:val="auto"/>
    <w:pitch w:val="default"/>
    <w:sig w:usb0="A00002BF" w:usb1="38CF7CFA" w:usb2="00082016" w:usb3="00000000" w:csb0="00040001" w:csb1="00000000"/>
    <w:embedRegular r:id="rId6" w:fontKey="{E3A92BE5-CF85-4275-8FC7-7816C7E987A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ascii="Times New Roman" w:hAnsi="Times New Roman" w:eastAsia="宋体" w:cs="Times New Roman"/>
        <w:kern w:val="2"/>
        <w:sz w:val="18"/>
        <w:szCs w:val="18"/>
        <w:lang w:val="en-US" w:eastAsia="zh-CN" w:bidi="ar-SA"/>
      </w:rPr>
      <w:pict>
        <v:shape id="文本框 7" o:spid="_x0000_s2050" o:spt="202" type="#_x0000_t202" style="position:absolute;left:0pt;margin-top:0pt;height:144pt;width:144pt;mso-position-horizontal:outside;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- 2 -</w:t>
                </w:r>
                <w:r>
                  <w:rPr>
                    <w:rFonts w:hint="eastAsia"/>
                    <w:sz w:val="28"/>
                    <w:szCs w:val="28"/>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ascii="Times New Roman" w:hAnsi="Times New Roman" w:eastAsia="宋体" w:cs="Times New Roman"/>
        <w:kern w:val="2"/>
        <w:sz w:val="18"/>
        <w:szCs w:val="18"/>
        <w:lang w:val="en-US" w:eastAsia="zh-CN" w:bidi="ar-SA"/>
      </w:rPr>
      <w:pict>
        <v:shape id="_x0000_s2051" o:spid="_x0000_s2051" o:spt="202" type="#_x0000_t202" style="position:absolute;left:0pt;margin-top:0pt;height:144pt;width:144pt;mso-position-horizontal:outside;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28"/>
                    <w:szCs w:val="28"/>
                    <w:lang w:eastAsia="zh-CN"/>
                  </w:rPr>
                </w:pP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t>- 2 -</w:t>
                </w:r>
                <w:r>
                  <w:rPr>
                    <w:rFonts w:hint="eastAsia"/>
                    <w:sz w:val="28"/>
                    <w:szCs w:val="28"/>
                    <w:lang w:eastAsia="zh-CN"/>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640"/>
    </w:pPr>
    <w:r>
      <w:rPr>
        <w:rFonts w:ascii="Times New Roman" w:hAnsi="Times New Roman" w:eastAsia="宋体" w:cs="Times New Roman"/>
        <w:kern w:val="2"/>
        <w:sz w:val="21"/>
        <w:szCs w:val="24"/>
        <w:lang w:val="en-US" w:eastAsia="zh-CN" w:bidi="ar-SA"/>
      </w:rPr>
      <w:pict>
        <v:shape id="文本框 2" o:spid="_x0000_s2049" o:spt="202" type="#_x0000_t202" style="position:absolute;left:0pt;margin-top:0pt;height:144pt;width:144pt;mso-position-horizontal:in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pPr>
                  <w:snapToGrid w:val="0"/>
                  <w:rPr>
                    <w:rFonts w:hint="eastAsia" w:eastAsia="宋体"/>
                    <w:sz w:val="18"/>
                    <w:lang w:eastAsia="zh-CN"/>
                  </w:rPr>
                </w:pPr>
              </w:p>
            </w:txbxContent>
          </v:textbox>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9B5D31"/>
    <w:multiLevelType w:val="singleLevel"/>
    <w:tmpl w:val="619B5D31"/>
    <w:lvl w:ilvl="0" w:tentative="0">
      <w:start w:val="1"/>
      <w:numFmt w:val="decimal"/>
      <w:suff w:val="nothing"/>
      <w:lvlText w:val="%1."/>
      <w:lvlJc w:val="left"/>
    </w:lvl>
  </w:abstractNum>
  <w:abstractNum w:abstractNumId="1">
    <w:nsid w:val="619B5D55"/>
    <w:multiLevelType w:val="singleLevel"/>
    <w:tmpl w:val="619B5D55"/>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docVars>
    <w:docVar w:name="commondata" w:val="eyJoZGlkIjoiODRhYTFmMmY4ZTFlMzBmMTBkMjNiNjAwZTlhOGNmNGMifQ=="/>
  </w:docVars>
  <w:rsids>
    <w:rsidRoot w:val="00E170AF"/>
    <w:rsid w:val="0000045C"/>
    <w:rsid w:val="00000813"/>
    <w:rsid w:val="00000860"/>
    <w:rsid w:val="00001142"/>
    <w:rsid w:val="00001527"/>
    <w:rsid w:val="00001E02"/>
    <w:rsid w:val="00003FC1"/>
    <w:rsid w:val="00003FCE"/>
    <w:rsid w:val="00004B1C"/>
    <w:rsid w:val="00010405"/>
    <w:rsid w:val="00010997"/>
    <w:rsid w:val="00010DBF"/>
    <w:rsid w:val="00014268"/>
    <w:rsid w:val="0001618A"/>
    <w:rsid w:val="0002006F"/>
    <w:rsid w:val="00020C6D"/>
    <w:rsid w:val="0002197A"/>
    <w:rsid w:val="00021B36"/>
    <w:rsid w:val="0002215F"/>
    <w:rsid w:val="0002281F"/>
    <w:rsid w:val="00024932"/>
    <w:rsid w:val="00025B11"/>
    <w:rsid w:val="00025D08"/>
    <w:rsid w:val="00026C6C"/>
    <w:rsid w:val="00027B61"/>
    <w:rsid w:val="00027BA3"/>
    <w:rsid w:val="0003026B"/>
    <w:rsid w:val="000303AE"/>
    <w:rsid w:val="000308DA"/>
    <w:rsid w:val="00031378"/>
    <w:rsid w:val="000351E5"/>
    <w:rsid w:val="000378F1"/>
    <w:rsid w:val="000379FD"/>
    <w:rsid w:val="0004173E"/>
    <w:rsid w:val="00042948"/>
    <w:rsid w:val="00044A80"/>
    <w:rsid w:val="00046717"/>
    <w:rsid w:val="000469F8"/>
    <w:rsid w:val="000473E6"/>
    <w:rsid w:val="00050CA2"/>
    <w:rsid w:val="000511EC"/>
    <w:rsid w:val="00053348"/>
    <w:rsid w:val="00053B50"/>
    <w:rsid w:val="000552C5"/>
    <w:rsid w:val="00055EA3"/>
    <w:rsid w:val="000561A5"/>
    <w:rsid w:val="000569BC"/>
    <w:rsid w:val="00060D5E"/>
    <w:rsid w:val="0006104B"/>
    <w:rsid w:val="000619AF"/>
    <w:rsid w:val="00064B85"/>
    <w:rsid w:val="00064D36"/>
    <w:rsid w:val="0006532B"/>
    <w:rsid w:val="00065E81"/>
    <w:rsid w:val="000679F8"/>
    <w:rsid w:val="000726A9"/>
    <w:rsid w:val="000728A6"/>
    <w:rsid w:val="00073158"/>
    <w:rsid w:val="0007502B"/>
    <w:rsid w:val="00075D2B"/>
    <w:rsid w:val="00084FAE"/>
    <w:rsid w:val="00085D81"/>
    <w:rsid w:val="000863CA"/>
    <w:rsid w:val="000875DF"/>
    <w:rsid w:val="000876B1"/>
    <w:rsid w:val="000904D4"/>
    <w:rsid w:val="00092112"/>
    <w:rsid w:val="00092C12"/>
    <w:rsid w:val="000933A5"/>
    <w:rsid w:val="000938FB"/>
    <w:rsid w:val="0009453C"/>
    <w:rsid w:val="00094E80"/>
    <w:rsid w:val="000952FA"/>
    <w:rsid w:val="00095798"/>
    <w:rsid w:val="000967FC"/>
    <w:rsid w:val="000969F2"/>
    <w:rsid w:val="000A041D"/>
    <w:rsid w:val="000A0CB2"/>
    <w:rsid w:val="000A2D45"/>
    <w:rsid w:val="000A384D"/>
    <w:rsid w:val="000A57B7"/>
    <w:rsid w:val="000B2F89"/>
    <w:rsid w:val="000B3BE6"/>
    <w:rsid w:val="000B49C5"/>
    <w:rsid w:val="000B533D"/>
    <w:rsid w:val="000B5F54"/>
    <w:rsid w:val="000B67F6"/>
    <w:rsid w:val="000B7A7D"/>
    <w:rsid w:val="000C05D0"/>
    <w:rsid w:val="000C1763"/>
    <w:rsid w:val="000C2894"/>
    <w:rsid w:val="000C295D"/>
    <w:rsid w:val="000C3127"/>
    <w:rsid w:val="000C3303"/>
    <w:rsid w:val="000C539C"/>
    <w:rsid w:val="000C6CE8"/>
    <w:rsid w:val="000C743A"/>
    <w:rsid w:val="000D126D"/>
    <w:rsid w:val="000D1B35"/>
    <w:rsid w:val="000D20EC"/>
    <w:rsid w:val="000D2318"/>
    <w:rsid w:val="000D3250"/>
    <w:rsid w:val="000D451E"/>
    <w:rsid w:val="000D4E86"/>
    <w:rsid w:val="000D50C7"/>
    <w:rsid w:val="000D64D2"/>
    <w:rsid w:val="000D6F2F"/>
    <w:rsid w:val="000E0849"/>
    <w:rsid w:val="000E09D8"/>
    <w:rsid w:val="000E1CFF"/>
    <w:rsid w:val="000E2667"/>
    <w:rsid w:val="000E288B"/>
    <w:rsid w:val="000E3A6D"/>
    <w:rsid w:val="000E3E92"/>
    <w:rsid w:val="000E42F4"/>
    <w:rsid w:val="000E4445"/>
    <w:rsid w:val="000E4829"/>
    <w:rsid w:val="000E502B"/>
    <w:rsid w:val="000E53D9"/>
    <w:rsid w:val="000F04C5"/>
    <w:rsid w:val="000F0BFA"/>
    <w:rsid w:val="000F0F39"/>
    <w:rsid w:val="000F1A00"/>
    <w:rsid w:val="000F1D67"/>
    <w:rsid w:val="000F2693"/>
    <w:rsid w:val="000F33DE"/>
    <w:rsid w:val="000F3D94"/>
    <w:rsid w:val="000F60DD"/>
    <w:rsid w:val="000F67C7"/>
    <w:rsid w:val="000F77C7"/>
    <w:rsid w:val="000F7A49"/>
    <w:rsid w:val="0010018B"/>
    <w:rsid w:val="001020A7"/>
    <w:rsid w:val="00102BDB"/>
    <w:rsid w:val="00104D03"/>
    <w:rsid w:val="0010567D"/>
    <w:rsid w:val="00105FB7"/>
    <w:rsid w:val="0010789D"/>
    <w:rsid w:val="001079AD"/>
    <w:rsid w:val="001109E7"/>
    <w:rsid w:val="00111298"/>
    <w:rsid w:val="001118A7"/>
    <w:rsid w:val="00113A9E"/>
    <w:rsid w:val="001145C5"/>
    <w:rsid w:val="00114602"/>
    <w:rsid w:val="0011702D"/>
    <w:rsid w:val="001211AA"/>
    <w:rsid w:val="0012172E"/>
    <w:rsid w:val="00121C28"/>
    <w:rsid w:val="00122334"/>
    <w:rsid w:val="001246DF"/>
    <w:rsid w:val="001249C5"/>
    <w:rsid w:val="00127899"/>
    <w:rsid w:val="00130149"/>
    <w:rsid w:val="00130E7B"/>
    <w:rsid w:val="00132315"/>
    <w:rsid w:val="001323B9"/>
    <w:rsid w:val="00134320"/>
    <w:rsid w:val="00134E8E"/>
    <w:rsid w:val="00137B51"/>
    <w:rsid w:val="00137D20"/>
    <w:rsid w:val="00140AC4"/>
    <w:rsid w:val="001471B6"/>
    <w:rsid w:val="00147C65"/>
    <w:rsid w:val="00147D84"/>
    <w:rsid w:val="00153AED"/>
    <w:rsid w:val="00154CD5"/>
    <w:rsid w:val="0015573D"/>
    <w:rsid w:val="00156411"/>
    <w:rsid w:val="0015764C"/>
    <w:rsid w:val="00160F29"/>
    <w:rsid w:val="00161CE7"/>
    <w:rsid w:val="00161E82"/>
    <w:rsid w:val="00163E73"/>
    <w:rsid w:val="00164279"/>
    <w:rsid w:val="00164BD0"/>
    <w:rsid w:val="00164C72"/>
    <w:rsid w:val="00166CE9"/>
    <w:rsid w:val="001709F5"/>
    <w:rsid w:val="001721E5"/>
    <w:rsid w:val="001723A2"/>
    <w:rsid w:val="00175A13"/>
    <w:rsid w:val="00176B58"/>
    <w:rsid w:val="0017740F"/>
    <w:rsid w:val="00177638"/>
    <w:rsid w:val="00177968"/>
    <w:rsid w:val="00180A09"/>
    <w:rsid w:val="00180AF7"/>
    <w:rsid w:val="00180C2A"/>
    <w:rsid w:val="00180C9F"/>
    <w:rsid w:val="00180EA2"/>
    <w:rsid w:val="001813B7"/>
    <w:rsid w:val="00182F8D"/>
    <w:rsid w:val="0018447D"/>
    <w:rsid w:val="00191286"/>
    <w:rsid w:val="001915DF"/>
    <w:rsid w:val="001922F5"/>
    <w:rsid w:val="00193321"/>
    <w:rsid w:val="00194CCB"/>
    <w:rsid w:val="00194E9C"/>
    <w:rsid w:val="0019515A"/>
    <w:rsid w:val="001954D1"/>
    <w:rsid w:val="00195DBC"/>
    <w:rsid w:val="00196FC0"/>
    <w:rsid w:val="00197E2B"/>
    <w:rsid w:val="001A1A84"/>
    <w:rsid w:val="001A2D25"/>
    <w:rsid w:val="001A400B"/>
    <w:rsid w:val="001A5332"/>
    <w:rsid w:val="001A53A9"/>
    <w:rsid w:val="001A6CDA"/>
    <w:rsid w:val="001A758C"/>
    <w:rsid w:val="001B060A"/>
    <w:rsid w:val="001B17DB"/>
    <w:rsid w:val="001B2181"/>
    <w:rsid w:val="001B2F4A"/>
    <w:rsid w:val="001B4977"/>
    <w:rsid w:val="001B4E6B"/>
    <w:rsid w:val="001B5B0C"/>
    <w:rsid w:val="001B5D22"/>
    <w:rsid w:val="001B7C8A"/>
    <w:rsid w:val="001C1A41"/>
    <w:rsid w:val="001C2633"/>
    <w:rsid w:val="001C2D18"/>
    <w:rsid w:val="001C2ED4"/>
    <w:rsid w:val="001C3C89"/>
    <w:rsid w:val="001C46CF"/>
    <w:rsid w:val="001C5118"/>
    <w:rsid w:val="001D0FC7"/>
    <w:rsid w:val="001D1975"/>
    <w:rsid w:val="001D5C9C"/>
    <w:rsid w:val="001D5FB6"/>
    <w:rsid w:val="001D714D"/>
    <w:rsid w:val="001D798E"/>
    <w:rsid w:val="001E0810"/>
    <w:rsid w:val="001E23A3"/>
    <w:rsid w:val="001E2A80"/>
    <w:rsid w:val="001E59D0"/>
    <w:rsid w:val="001E7DBF"/>
    <w:rsid w:val="001F026F"/>
    <w:rsid w:val="001F0A5C"/>
    <w:rsid w:val="001F0B97"/>
    <w:rsid w:val="001F0DAD"/>
    <w:rsid w:val="001F107F"/>
    <w:rsid w:val="001F2484"/>
    <w:rsid w:val="001F29BF"/>
    <w:rsid w:val="001F2EBC"/>
    <w:rsid w:val="001F3E2A"/>
    <w:rsid w:val="001F4E46"/>
    <w:rsid w:val="001F6F2C"/>
    <w:rsid w:val="001F7F22"/>
    <w:rsid w:val="00200C88"/>
    <w:rsid w:val="00201104"/>
    <w:rsid w:val="002017D6"/>
    <w:rsid w:val="00201A16"/>
    <w:rsid w:val="00202C13"/>
    <w:rsid w:val="002035CF"/>
    <w:rsid w:val="002035F3"/>
    <w:rsid w:val="00203628"/>
    <w:rsid w:val="002045B9"/>
    <w:rsid w:val="00204902"/>
    <w:rsid w:val="00204C9D"/>
    <w:rsid w:val="002061CC"/>
    <w:rsid w:val="00206841"/>
    <w:rsid w:val="00206C1B"/>
    <w:rsid w:val="00211D1E"/>
    <w:rsid w:val="00212D34"/>
    <w:rsid w:val="00212D64"/>
    <w:rsid w:val="0021601D"/>
    <w:rsid w:val="0021639E"/>
    <w:rsid w:val="002164CB"/>
    <w:rsid w:val="00220A49"/>
    <w:rsid w:val="00221554"/>
    <w:rsid w:val="00221743"/>
    <w:rsid w:val="00221B5C"/>
    <w:rsid w:val="00221F72"/>
    <w:rsid w:val="00221F84"/>
    <w:rsid w:val="00222660"/>
    <w:rsid w:val="0022550F"/>
    <w:rsid w:val="00226AC5"/>
    <w:rsid w:val="002274B2"/>
    <w:rsid w:val="00231358"/>
    <w:rsid w:val="002317CB"/>
    <w:rsid w:val="00233404"/>
    <w:rsid w:val="00234C52"/>
    <w:rsid w:val="002364C9"/>
    <w:rsid w:val="0023684B"/>
    <w:rsid w:val="00236C01"/>
    <w:rsid w:val="00240F83"/>
    <w:rsid w:val="00243226"/>
    <w:rsid w:val="0024329A"/>
    <w:rsid w:val="0024375E"/>
    <w:rsid w:val="00243A95"/>
    <w:rsid w:val="0024466D"/>
    <w:rsid w:val="00244CDA"/>
    <w:rsid w:val="00246244"/>
    <w:rsid w:val="00246A0C"/>
    <w:rsid w:val="00250D57"/>
    <w:rsid w:val="00250E31"/>
    <w:rsid w:val="002519D6"/>
    <w:rsid w:val="00252229"/>
    <w:rsid w:val="002538EE"/>
    <w:rsid w:val="002540DE"/>
    <w:rsid w:val="00255597"/>
    <w:rsid w:val="00256910"/>
    <w:rsid w:val="002569CA"/>
    <w:rsid w:val="0025737C"/>
    <w:rsid w:val="002577DE"/>
    <w:rsid w:val="002579F8"/>
    <w:rsid w:val="00257E6B"/>
    <w:rsid w:val="00257F14"/>
    <w:rsid w:val="00260D42"/>
    <w:rsid w:val="00260DF9"/>
    <w:rsid w:val="00261F75"/>
    <w:rsid w:val="00263490"/>
    <w:rsid w:val="00263F29"/>
    <w:rsid w:val="002640F1"/>
    <w:rsid w:val="002642F5"/>
    <w:rsid w:val="00265D6F"/>
    <w:rsid w:val="002678F0"/>
    <w:rsid w:val="00267E85"/>
    <w:rsid w:val="00271414"/>
    <w:rsid w:val="00272001"/>
    <w:rsid w:val="002721A9"/>
    <w:rsid w:val="00272628"/>
    <w:rsid w:val="00272BF7"/>
    <w:rsid w:val="002730AB"/>
    <w:rsid w:val="00273226"/>
    <w:rsid w:val="00273FFD"/>
    <w:rsid w:val="00277204"/>
    <w:rsid w:val="00280406"/>
    <w:rsid w:val="0028052D"/>
    <w:rsid w:val="002809D0"/>
    <w:rsid w:val="00281D7E"/>
    <w:rsid w:val="002825D5"/>
    <w:rsid w:val="00282DA0"/>
    <w:rsid w:val="002837E5"/>
    <w:rsid w:val="0028524B"/>
    <w:rsid w:val="00290013"/>
    <w:rsid w:val="002930C6"/>
    <w:rsid w:val="00293426"/>
    <w:rsid w:val="002943DE"/>
    <w:rsid w:val="00295E2D"/>
    <w:rsid w:val="00295FEC"/>
    <w:rsid w:val="00296995"/>
    <w:rsid w:val="00296AD3"/>
    <w:rsid w:val="0029746A"/>
    <w:rsid w:val="002A16B4"/>
    <w:rsid w:val="002A238B"/>
    <w:rsid w:val="002A2493"/>
    <w:rsid w:val="002A2EB3"/>
    <w:rsid w:val="002A5158"/>
    <w:rsid w:val="002A56F3"/>
    <w:rsid w:val="002A5E27"/>
    <w:rsid w:val="002A673A"/>
    <w:rsid w:val="002A6756"/>
    <w:rsid w:val="002A7B12"/>
    <w:rsid w:val="002A7E62"/>
    <w:rsid w:val="002B12BE"/>
    <w:rsid w:val="002B3DB3"/>
    <w:rsid w:val="002B472A"/>
    <w:rsid w:val="002B4734"/>
    <w:rsid w:val="002B5143"/>
    <w:rsid w:val="002B5C62"/>
    <w:rsid w:val="002B6002"/>
    <w:rsid w:val="002B6D6A"/>
    <w:rsid w:val="002B6F4C"/>
    <w:rsid w:val="002C18CA"/>
    <w:rsid w:val="002C2E9E"/>
    <w:rsid w:val="002C3E4D"/>
    <w:rsid w:val="002C4070"/>
    <w:rsid w:val="002C4C42"/>
    <w:rsid w:val="002C51BB"/>
    <w:rsid w:val="002C739A"/>
    <w:rsid w:val="002C7C0A"/>
    <w:rsid w:val="002D005C"/>
    <w:rsid w:val="002D0D13"/>
    <w:rsid w:val="002D22FD"/>
    <w:rsid w:val="002D3476"/>
    <w:rsid w:val="002D3847"/>
    <w:rsid w:val="002D424C"/>
    <w:rsid w:val="002D7CCB"/>
    <w:rsid w:val="002E1ABC"/>
    <w:rsid w:val="002E2F24"/>
    <w:rsid w:val="002E31B9"/>
    <w:rsid w:val="002E53E7"/>
    <w:rsid w:val="002E5D90"/>
    <w:rsid w:val="002E6E08"/>
    <w:rsid w:val="002F0288"/>
    <w:rsid w:val="002F09AC"/>
    <w:rsid w:val="002F09C4"/>
    <w:rsid w:val="002F2B67"/>
    <w:rsid w:val="002F377C"/>
    <w:rsid w:val="002F5609"/>
    <w:rsid w:val="002F58C6"/>
    <w:rsid w:val="002F5D57"/>
    <w:rsid w:val="002F5E2D"/>
    <w:rsid w:val="002F62EF"/>
    <w:rsid w:val="002F68AD"/>
    <w:rsid w:val="00300511"/>
    <w:rsid w:val="003013B4"/>
    <w:rsid w:val="00301CC7"/>
    <w:rsid w:val="00302011"/>
    <w:rsid w:val="0030244D"/>
    <w:rsid w:val="0030244F"/>
    <w:rsid w:val="00306B92"/>
    <w:rsid w:val="0030762C"/>
    <w:rsid w:val="003110A4"/>
    <w:rsid w:val="0031227E"/>
    <w:rsid w:val="00313860"/>
    <w:rsid w:val="00314064"/>
    <w:rsid w:val="00315B72"/>
    <w:rsid w:val="00315D78"/>
    <w:rsid w:val="003161D9"/>
    <w:rsid w:val="0031637B"/>
    <w:rsid w:val="00316582"/>
    <w:rsid w:val="00317755"/>
    <w:rsid w:val="00320546"/>
    <w:rsid w:val="00320578"/>
    <w:rsid w:val="00324473"/>
    <w:rsid w:val="003248B5"/>
    <w:rsid w:val="003266F5"/>
    <w:rsid w:val="00326CD5"/>
    <w:rsid w:val="00331D78"/>
    <w:rsid w:val="00331EDA"/>
    <w:rsid w:val="003326F0"/>
    <w:rsid w:val="0033279F"/>
    <w:rsid w:val="00332C10"/>
    <w:rsid w:val="00333D45"/>
    <w:rsid w:val="0033453E"/>
    <w:rsid w:val="00335027"/>
    <w:rsid w:val="003352EC"/>
    <w:rsid w:val="00340884"/>
    <w:rsid w:val="0034329D"/>
    <w:rsid w:val="00343E53"/>
    <w:rsid w:val="00343E8F"/>
    <w:rsid w:val="0034681F"/>
    <w:rsid w:val="0034758E"/>
    <w:rsid w:val="003512C5"/>
    <w:rsid w:val="003513F2"/>
    <w:rsid w:val="0035278F"/>
    <w:rsid w:val="00352A0F"/>
    <w:rsid w:val="0035390D"/>
    <w:rsid w:val="00353A2B"/>
    <w:rsid w:val="00353A2C"/>
    <w:rsid w:val="00353B27"/>
    <w:rsid w:val="00353F80"/>
    <w:rsid w:val="003560DE"/>
    <w:rsid w:val="00356172"/>
    <w:rsid w:val="00357C52"/>
    <w:rsid w:val="00361096"/>
    <w:rsid w:val="00362AFA"/>
    <w:rsid w:val="00363BAF"/>
    <w:rsid w:val="00364EB4"/>
    <w:rsid w:val="00365E76"/>
    <w:rsid w:val="00365EDA"/>
    <w:rsid w:val="00366389"/>
    <w:rsid w:val="00366539"/>
    <w:rsid w:val="0036721E"/>
    <w:rsid w:val="003700D0"/>
    <w:rsid w:val="00370858"/>
    <w:rsid w:val="003712DB"/>
    <w:rsid w:val="003724E4"/>
    <w:rsid w:val="00372528"/>
    <w:rsid w:val="00372F2C"/>
    <w:rsid w:val="00373F67"/>
    <w:rsid w:val="0037420F"/>
    <w:rsid w:val="00374EC2"/>
    <w:rsid w:val="003753E5"/>
    <w:rsid w:val="003755D6"/>
    <w:rsid w:val="00376C25"/>
    <w:rsid w:val="0037780A"/>
    <w:rsid w:val="00377F41"/>
    <w:rsid w:val="00381629"/>
    <w:rsid w:val="003847DF"/>
    <w:rsid w:val="003902F7"/>
    <w:rsid w:val="00391662"/>
    <w:rsid w:val="00391BD7"/>
    <w:rsid w:val="0039238D"/>
    <w:rsid w:val="00392B92"/>
    <w:rsid w:val="00393401"/>
    <w:rsid w:val="00393EB1"/>
    <w:rsid w:val="0039487E"/>
    <w:rsid w:val="0039612F"/>
    <w:rsid w:val="00397F43"/>
    <w:rsid w:val="003A035F"/>
    <w:rsid w:val="003A2201"/>
    <w:rsid w:val="003A589F"/>
    <w:rsid w:val="003A6ECB"/>
    <w:rsid w:val="003A76E1"/>
    <w:rsid w:val="003A7B06"/>
    <w:rsid w:val="003A7D34"/>
    <w:rsid w:val="003B11AF"/>
    <w:rsid w:val="003B1C28"/>
    <w:rsid w:val="003B35ED"/>
    <w:rsid w:val="003B3A9C"/>
    <w:rsid w:val="003B5D67"/>
    <w:rsid w:val="003B64F0"/>
    <w:rsid w:val="003B6CDA"/>
    <w:rsid w:val="003B703C"/>
    <w:rsid w:val="003B7509"/>
    <w:rsid w:val="003C05F8"/>
    <w:rsid w:val="003C1AFB"/>
    <w:rsid w:val="003C2955"/>
    <w:rsid w:val="003C649D"/>
    <w:rsid w:val="003C64E1"/>
    <w:rsid w:val="003C78EB"/>
    <w:rsid w:val="003D1C15"/>
    <w:rsid w:val="003D20A2"/>
    <w:rsid w:val="003D2326"/>
    <w:rsid w:val="003D23D5"/>
    <w:rsid w:val="003D29CE"/>
    <w:rsid w:val="003D6C67"/>
    <w:rsid w:val="003E098E"/>
    <w:rsid w:val="003E3F67"/>
    <w:rsid w:val="003E45C4"/>
    <w:rsid w:val="003E60A0"/>
    <w:rsid w:val="003E677B"/>
    <w:rsid w:val="003E6EF3"/>
    <w:rsid w:val="003E7296"/>
    <w:rsid w:val="003F2AA0"/>
    <w:rsid w:val="003F3515"/>
    <w:rsid w:val="003F362B"/>
    <w:rsid w:val="003F3A16"/>
    <w:rsid w:val="003F5507"/>
    <w:rsid w:val="003F5980"/>
    <w:rsid w:val="003F6285"/>
    <w:rsid w:val="003F6539"/>
    <w:rsid w:val="00400462"/>
    <w:rsid w:val="00400B04"/>
    <w:rsid w:val="00402869"/>
    <w:rsid w:val="00402FA4"/>
    <w:rsid w:val="0040421A"/>
    <w:rsid w:val="00404E9F"/>
    <w:rsid w:val="00406444"/>
    <w:rsid w:val="0040654F"/>
    <w:rsid w:val="004113CD"/>
    <w:rsid w:val="00414064"/>
    <w:rsid w:val="00414B46"/>
    <w:rsid w:val="00416431"/>
    <w:rsid w:val="00416EA6"/>
    <w:rsid w:val="00420311"/>
    <w:rsid w:val="004204EA"/>
    <w:rsid w:val="00422758"/>
    <w:rsid w:val="00424C05"/>
    <w:rsid w:val="0042586D"/>
    <w:rsid w:val="004258E1"/>
    <w:rsid w:val="00425DEA"/>
    <w:rsid w:val="0042699F"/>
    <w:rsid w:val="0043070F"/>
    <w:rsid w:val="00430CAE"/>
    <w:rsid w:val="00431A91"/>
    <w:rsid w:val="00432F73"/>
    <w:rsid w:val="0043367E"/>
    <w:rsid w:val="00433FD3"/>
    <w:rsid w:val="004341F0"/>
    <w:rsid w:val="00435593"/>
    <w:rsid w:val="0043689C"/>
    <w:rsid w:val="0043721C"/>
    <w:rsid w:val="00442279"/>
    <w:rsid w:val="00442FC2"/>
    <w:rsid w:val="00443036"/>
    <w:rsid w:val="004458CE"/>
    <w:rsid w:val="00445A92"/>
    <w:rsid w:val="00450389"/>
    <w:rsid w:val="004504EB"/>
    <w:rsid w:val="004504F6"/>
    <w:rsid w:val="00454A10"/>
    <w:rsid w:val="00455A90"/>
    <w:rsid w:val="004561C1"/>
    <w:rsid w:val="0046155F"/>
    <w:rsid w:val="004629C4"/>
    <w:rsid w:val="00462CA9"/>
    <w:rsid w:val="00463A2A"/>
    <w:rsid w:val="00465350"/>
    <w:rsid w:val="00467F34"/>
    <w:rsid w:val="00471393"/>
    <w:rsid w:val="004718EC"/>
    <w:rsid w:val="00472083"/>
    <w:rsid w:val="004730A7"/>
    <w:rsid w:val="0047405A"/>
    <w:rsid w:val="004744BF"/>
    <w:rsid w:val="0047591F"/>
    <w:rsid w:val="00475FA8"/>
    <w:rsid w:val="00476EF3"/>
    <w:rsid w:val="00477A48"/>
    <w:rsid w:val="00480CD5"/>
    <w:rsid w:val="00482806"/>
    <w:rsid w:val="00482ADA"/>
    <w:rsid w:val="00482CA3"/>
    <w:rsid w:val="004847DE"/>
    <w:rsid w:val="00484AAC"/>
    <w:rsid w:val="00484B5D"/>
    <w:rsid w:val="004858A0"/>
    <w:rsid w:val="0049097A"/>
    <w:rsid w:val="00492AE5"/>
    <w:rsid w:val="0049465A"/>
    <w:rsid w:val="00494EE4"/>
    <w:rsid w:val="0049506B"/>
    <w:rsid w:val="00496D85"/>
    <w:rsid w:val="00497B83"/>
    <w:rsid w:val="004A09E6"/>
    <w:rsid w:val="004A0EA3"/>
    <w:rsid w:val="004A1FF3"/>
    <w:rsid w:val="004A246B"/>
    <w:rsid w:val="004A2474"/>
    <w:rsid w:val="004A676C"/>
    <w:rsid w:val="004A6EB7"/>
    <w:rsid w:val="004A71CF"/>
    <w:rsid w:val="004B0046"/>
    <w:rsid w:val="004B199E"/>
    <w:rsid w:val="004B204E"/>
    <w:rsid w:val="004B206D"/>
    <w:rsid w:val="004B43F8"/>
    <w:rsid w:val="004B5F8F"/>
    <w:rsid w:val="004B63B4"/>
    <w:rsid w:val="004C1BD8"/>
    <w:rsid w:val="004C1C98"/>
    <w:rsid w:val="004C253D"/>
    <w:rsid w:val="004C5F97"/>
    <w:rsid w:val="004D1FF6"/>
    <w:rsid w:val="004D5014"/>
    <w:rsid w:val="004D5E0F"/>
    <w:rsid w:val="004E03FE"/>
    <w:rsid w:val="004E1A54"/>
    <w:rsid w:val="004E1DBA"/>
    <w:rsid w:val="004E2A1D"/>
    <w:rsid w:val="004E2C03"/>
    <w:rsid w:val="004E2C13"/>
    <w:rsid w:val="004E3820"/>
    <w:rsid w:val="004E3BA9"/>
    <w:rsid w:val="004E3C2A"/>
    <w:rsid w:val="004E5396"/>
    <w:rsid w:val="004E53D9"/>
    <w:rsid w:val="004E6058"/>
    <w:rsid w:val="004E61D3"/>
    <w:rsid w:val="004E6297"/>
    <w:rsid w:val="004E6772"/>
    <w:rsid w:val="004E7060"/>
    <w:rsid w:val="004E78BB"/>
    <w:rsid w:val="004F02E2"/>
    <w:rsid w:val="004F02F4"/>
    <w:rsid w:val="004F0777"/>
    <w:rsid w:val="004F0EF6"/>
    <w:rsid w:val="004F264F"/>
    <w:rsid w:val="004F4758"/>
    <w:rsid w:val="004F49E3"/>
    <w:rsid w:val="004F6FDC"/>
    <w:rsid w:val="004F786A"/>
    <w:rsid w:val="004F78B5"/>
    <w:rsid w:val="004F7D61"/>
    <w:rsid w:val="005015F5"/>
    <w:rsid w:val="00501B42"/>
    <w:rsid w:val="00503940"/>
    <w:rsid w:val="00503EAF"/>
    <w:rsid w:val="005078FB"/>
    <w:rsid w:val="0051067E"/>
    <w:rsid w:val="00511CA8"/>
    <w:rsid w:val="00511E9D"/>
    <w:rsid w:val="005128B7"/>
    <w:rsid w:val="00513967"/>
    <w:rsid w:val="00513E94"/>
    <w:rsid w:val="005140F9"/>
    <w:rsid w:val="005144C0"/>
    <w:rsid w:val="00514E58"/>
    <w:rsid w:val="00515360"/>
    <w:rsid w:val="00515BF1"/>
    <w:rsid w:val="00516C67"/>
    <w:rsid w:val="00517A07"/>
    <w:rsid w:val="0052229A"/>
    <w:rsid w:val="00522372"/>
    <w:rsid w:val="005225F0"/>
    <w:rsid w:val="005233F2"/>
    <w:rsid w:val="00523B8F"/>
    <w:rsid w:val="00523D74"/>
    <w:rsid w:val="00523FC9"/>
    <w:rsid w:val="00525CC4"/>
    <w:rsid w:val="00530E06"/>
    <w:rsid w:val="00531A95"/>
    <w:rsid w:val="0053287C"/>
    <w:rsid w:val="00533B8F"/>
    <w:rsid w:val="00534F3F"/>
    <w:rsid w:val="00535526"/>
    <w:rsid w:val="00535D02"/>
    <w:rsid w:val="0053720A"/>
    <w:rsid w:val="00537576"/>
    <w:rsid w:val="00542596"/>
    <w:rsid w:val="005425BE"/>
    <w:rsid w:val="00542844"/>
    <w:rsid w:val="00542CAC"/>
    <w:rsid w:val="00543D18"/>
    <w:rsid w:val="00543FC5"/>
    <w:rsid w:val="005442FE"/>
    <w:rsid w:val="00545652"/>
    <w:rsid w:val="00547BE8"/>
    <w:rsid w:val="005516BD"/>
    <w:rsid w:val="00552755"/>
    <w:rsid w:val="005527EF"/>
    <w:rsid w:val="0055336A"/>
    <w:rsid w:val="005540EB"/>
    <w:rsid w:val="005545AB"/>
    <w:rsid w:val="005545AD"/>
    <w:rsid w:val="00554A01"/>
    <w:rsid w:val="00554E95"/>
    <w:rsid w:val="005553E8"/>
    <w:rsid w:val="00556FBA"/>
    <w:rsid w:val="00557860"/>
    <w:rsid w:val="005609B7"/>
    <w:rsid w:val="0056119D"/>
    <w:rsid w:val="00561C07"/>
    <w:rsid w:val="005621D1"/>
    <w:rsid w:val="0056266A"/>
    <w:rsid w:val="005629CD"/>
    <w:rsid w:val="00562AB2"/>
    <w:rsid w:val="00564361"/>
    <w:rsid w:val="0056460E"/>
    <w:rsid w:val="0056626E"/>
    <w:rsid w:val="00566D15"/>
    <w:rsid w:val="00570645"/>
    <w:rsid w:val="005715F3"/>
    <w:rsid w:val="00572AD0"/>
    <w:rsid w:val="00572E7E"/>
    <w:rsid w:val="00573E08"/>
    <w:rsid w:val="0057593F"/>
    <w:rsid w:val="00575DBB"/>
    <w:rsid w:val="005763AC"/>
    <w:rsid w:val="00576545"/>
    <w:rsid w:val="00577E77"/>
    <w:rsid w:val="0058063B"/>
    <w:rsid w:val="00580B3B"/>
    <w:rsid w:val="005841C9"/>
    <w:rsid w:val="005844DA"/>
    <w:rsid w:val="0058533B"/>
    <w:rsid w:val="005878B3"/>
    <w:rsid w:val="00587B89"/>
    <w:rsid w:val="00587C2A"/>
    <w:rsid w:val="00587CD0"/>
    <w:rsid w:val="00590BCF"/>
    <w:rsid w:val="005918D9"/>
    <w:rsid w:val="00591FFF"/>
    <w:rsid w:val="0059263C"/>
    <w:rsid w:val="005937A3"/>
    <w:rsid w:val="00593A45"/>
    <w:rsid w:val="005943C5"/>
    <w:rsid w:val="00596CC4"/>
    <w:rsid w:val="00596DCF"/>
    <w:rsid w:val="005A047F"/>
    <w:rsid w:val="005A15D1"/>
    <w:rsid w:val="005A1D0A"/>
    <w:rsid w:val="005A2690"/>
    <w:rsid w:val="005A2DB1"/>
    <w:rsid w:val="005A4136"/>
    <w:rsid w:val="005A47BE"/>
    <w:rsid w:val="005A4B96"/>
    <w:rsid w:val="005A5675"/>
    <w:rsid w:val="005A64F4"/>
    <w:rsid w:val="005A6676"/>
    <w:rsid w:val="005A73DE"/>
    <w:rsid w:val="005A7FBF"/>
    <w:rsid w:val="005B039C"/>
    <w:rsid w:val="005B0B03"/>
    <w:rsid w:val="005B128A"/>
    <w:rsid w:val="005B1672"/>
    <w:rsid w:val="005B1FE5"/>
    <w:rsid w:val="005B2CE0"/>
    <w:rsid w:val="005B5647"/>
    <w:rsid w:val="005B76FE"/>
    <w:rsid w:val="005C0814"/>
    <w:rsid w:val="005C1210"/>
    <w:rsid w:val="005C1832"/>
    <w:rsid w:val="005C23E3"/>
    <w:rsid w:val="005C29CB"/>
    <w:rsid w:val="005C2DAC"/>
    <w:rsid w:val="005C330E"/>
    <w:rsid w:val="005C5DC5"/>
    <w:rsid w:val="005C65E9"/>
    <w:rsid w:val="005C6693"/>
    <w:rsid w:val="005C6B38"/>
    <w:rsid w:val="005D2615"/>
    <w:rsid w:val="005D2B0C"/>
    <w:rsid w:val="005D2D20"/>
    <w:rsid w:val="005D363C"/>
    <w:rsid w:val="005D3B80"/>
    <w:rsid w:val="005E0753"/>
    <w:rsid w:val="005E2B4A"/>
    <w:rsid w:val="005E37B2"/>
    <w:rsid w:val="005E4333"/>
    <w:rsid w:val="005E4C5C"/>
    <w:rsid w:val="005E61D1"/>
    <w:rsid w:val="005E62CB"/>
    <w:rsid w:val="005E75DA"/>
    <w:rsid w:val="005E7937"/>
    <w:rsid w:val="005E79BC"/>
    <w:rsid w:val="005F0006"/>
    <w:rsid w:val="005F12F1"/>
    <w:rsid w:val="005F2818"/>
    <w:rsid w:val="005F29E0"/>
    <w:rsid w:val="005F2DB2"/>
    <w:rsid w:val="005F3708"/>
    <w:rsid w:val="005F3BAC"/>
    <w:rsid w:val="005F4A50"/>
    <w:rsid w:val="005F53ED"/>
    <w:rsid w:val="005F73F5"/>
    <w:rsid w:val="006022FB"/>
    <w:rsid w:val="00604232"/>
    <w:rsid w:val="006046A1"/>
    <w:rsid w:val="00605A77"/>
    <w:rsid w:val="00606036"/>
    <w:rsid w:val="006072DB"/>
    <w:rsid w:val="00610843"/>
    <w:rsid w:val="00612A38"/>
    <w:rsid w:val="00614CB0"/>
    <w:rsid w:val="00614ECA"/>
    <w:rsid w:val="00614F09"/>
    <w:rsid w:val="006152DC"/>
    <w:rsid w:val="0061545B"/>
    <w:rsid w:val="00616340"/>
    <w:rsid w:val="00616639"/>
    <w:rsid w:val="00616960"/>
    <w:rsid w:val="00616F60"/>
    <w:rsid w:val="00617F52"/>
    <w:rsid w:val="0062146E"/>
    <w:rsid w:val="00622964"/>
    <w:rsid w:val="00623BED"/>
    <w:rsid w:val="00626C34"/>
    <w:rsid w:val="006305EB"/>
    <w:rsid w:val="00631972"/>
    <w:rsid w:val="00631BFF"/>
    <w:rsid w:val="00631D4F"/>
    <w:rsid w:val="00632767"/>
    <w:rsid w:val="00632ECE"/>
    <w:rsid w:val="006345E9"/>
    <w:rsid w:val="00635AC7"/>
    <w:rsid w:val="00635E98"/>
    <w:rsid w:val="006365BB"/>
    <w:rsid w:val="00637F1E"/>
    <w:rsid w:val="0064065D"/>
    <w:rsid w:val="00647763"/>
    <w:rsid w:val="0064779D"/>
    <w:rsid w:val="00647985"/>
    <w:rsid w:val="00647FB2"/>
    <w:rsid w:val="00652FBF"/>
    <w:rsid w:val="00653384"/>
    <w:rsid w:val="00653660"/>
    <w:rsid w:val="00653A7F"/>
    <w:rsid w:val="00654119"/>
    <w:rsid w:val="0065666B"/>
    <w:rsid w:val="0065717B"/>
    <w:rsid w:val="006604FF"/>
    <w:rsid w:val="0066057E"/>
    <w:rsid w:val="00660921"/>
    <w:rsid w:val="00660C6C"/>
    <w:rsid w:val="00660F22"/>
    <w:rsid w:val="0066239A"/>
    <w:rsid w:val="00662E03"/>
    <w:rsid w:val="00663832"/>
    <w:rsid w:val="006646B0"/>
    <w:rsid w:val="006647E5"/>
    <w:rsid w:val="00665498"/>
    <w:rsid w:val="006660B6"/>
    <w:rsid w:val="00666B28"/>
    <w:rsid w:val="00671364"/>
    <w:rsid w:val="006713A8"/>
    <w:rsid w:val="0067223F"/>
    <w:rsid w:val="0067256F"/>
    <w:rsid w:val="00672846"/>
    <w:rsid w:val="00672E99"/>
    <w:rsid w:val="006730CD"/>
    <w:rsid w:val="00674A2D"/>
    <w:rsid w:val="006803E8"/>
    <w:rsid w:val="00680498"/>
    <w:rsid w:val="00680939"/>
    <w:rsid w:val="00681CD6"/>
    <w:rsid w:val="00682392"/>
    <w:rsid w:val="00682B66"/>
    <w:rsid w:val="006842D6"/>
    <w:rsid w:val="00684A5A"/>
    <w:rsid w:val="006862B7"/>
    <w:rsid w:val="00686DCE"/>
    <w:rsid w:val="00686E4A"/>
    <w:rsid w:val="00690C30"/>
    <w:rsid w:val="00691E0C"/>
    <w:rsid w:val="00696798"/>
    <w:rsid w:val="00697FAD"/>
    <w:rsid w:val="006A1DD3"/>
    <w:rsid w:val="006A2D84"/>
    <w:rsid w:val="006A3172"/>
    <w:rsid w:val="006A3E7D"/>
    <w:rsid w:val="006A428E"/>
    <w:rsid w:val="006A57FC"/>
    <w:rsid w:val="006A5B12"/>
    <w:rsid w:val="006A67BC"/>
    <w:rsid w:val="006B0283"/>
    <w:rsid w:val="006B0ECB"/>
    <w:rsid w:val="006B0F01"/>
    <w:rsid w:val="006B2CBD"/>
    <w:rsid w:val="006B2F93"/>
    <w:rsid w:val="006B305A"/>
    <w:rsid w:val="006B38BE"/>
    <w:rsid w:val="006B4CA0"/>
    <w:rsid w:val="006B51C8"/>
    <w:rsid w:val="006C0FA9"/>
    <w:rsid w:val="006C169C"/>
    <w:rsid w:val="006C46B6"/>
    <w:rsid w:val="006C4855"/>
    <w:rsid w:val="006C4DC5"/>
    <w:rsid w:val="006C52A3"/>
    <w:rsid w:val="006C7875"/>
    <w:rsid w:val="006D0607"/>
    <w:rsid w:val="006D0677"/>
    <w:rsid w:val="006D3F25"/>
    <w:rsid w:val="006D43DA"/>
    <w:rsid w:val="006D5797"/>
    <w:rsid w:val="006D7037"/>
    <w:rsid w:val="006E1136"/>
    <w:rsid w:val="006E2E06"/>
    <w:rsid w:val="006E42AE"/>
    <w:rsid w:val="006E53F2"/>
    <w:rsid w:val="006E544B"/>
    <w:rsid w:val="006E561A"/>
    <w:rsid w:val="006E74FB"/>
    <w:rsid w:val="006F1165"/>
    <w:rsid w:val="006F22BA"/>
    <w:rsid w:val="006F2B24"/>
    <w:rsid w:val="006F3EEE"/>
    <w:rsid w:val="006F43E9"/>
    <w:rsid w:val="006F4A3E"/>
    <w:rsid w:val="006F624F"/>
    <w:rsid w:val="006F73B4"/>
    <w:rsid w:val="006F76F3"/>
    <w:rsid w:val="007006DB"/>
    <w:rsid w:val="00700AA9"/>
    <w:rsid w:val="00701E6C"/>
    <w:rsid w:val="00703B66"/>
    <w:rsid w:val="00705134"/>
    <w:rsid w:val="0070571C"/>
    <w:rsid w:val="007063BB"/>
    <w:rsid w:val="00706F45"/>
    <w:rsid w:val="0071077A"/>
    <w:rsid w:val="0071161E"/>
    <w:rsid w:val="00712A74"/>
    <w:rsid w:val="00712AC7"/>
    <w:rsid w:val="00712F6C"/>
    <w:rsid w:val="0071470F"/>
    <w:rsid w:val="00715AB1"/>
    <w:rsid w:val="00715F28"/>
    <w:rsid w:val="007204EA"/>
    <w:rsid w:val="0072057D"/>
    <w:rsid w:val="00720BEB"/>
    <w:rsid w:val="00722795"/>
    <w:rsid w:val="007229C1"/>
    <w:rsid w:val="00727705"/>
    <w:rsid w:val="00727E12"/>
    <w:rsid w:val="00730C16"/>
    <w:rsid w:val="00730E48"/>
    <w:rsid w:val="00730F08"/>
    <w:rsid w:val="00734E40"/>
    <w:rsid w:val="007354B7"/>
    <w:rsid w:val="007365CF"/>
    <w:rsid w:val="0074042A"/>
    <w:rsid w:val="00742135"/>
    <w:rsid w:val="0074481C"/>
    <w:rsid w:val="00744E5E"/>
    <w:rsid w:val="00745C49"/>
    <w:rsid w:val="0074604C"/>
    <w:rsid w:val="00747FE1"/>
    <w:rsid w:val="00750DD2"/>
    <w:rsid w:val="007522F0"/>
    <w:rsid w:val="007525FD"/>
    <w:rsid w:val="007558E4"/>
    <w:rsid w:val="00755B37"/>
    <w:rsid w:val="00756921"/>
    <w:rsid w:val="00756FB4"/>
    <w:rsid w:val="0076032B"/>
    <w:rsid w:val="00760F8B"/>
    <w:rsid w:val="007639B3"/>
    <w:rsid w:val="0076583A"/>
    <w:rsid w:val="0076679C"/>
    <w:rsid w:val="00766F6F"/>
    <w:rsid w:val="00767F3B"/>
    <w:rsid w:val="0077063C"/>
    <w:rsid w:val="00773924"/>
    <w:rsid w:val="0077485C"/>
    <w:rsid w:val="00774F70"/>
    <w:rsid w:val="00775475"/>
    <w:rsid w:val="007760CB"/>
    <w:rsid w:val="007768D5"/>
    <w:rsid w:val="00777E30"/>
    <w:rsid w:val="00781C86"/>
    <w:rsid w:val="00781FB9"/>
    <w:rsid w:val="0078231A"/>
    <w:rsid w:val="00782BBE"/>
    <w:rsid w:val="00784109"/>
    <w:rsid w:val="00784D1B"/>
    <w:rsid w:val="00785B25"/>
    <w:rsid w:val="00785D30"/>
    <w:rsid w:val="00786F53"/>
    <w:rsid w:val="0078706C"/>
    <w:rsid w:val="007931A6"/>
    <w:rsid w:val="00793754"/>
    <w:rsid w:val="00796129"/>
    <w:rsid w:val="00797617"/>
    <w:rsid w:val="007A141F"/>
    <w:rsid w:val="007A146A"/>
    <w:rsid w:val="007A5762"/>
    <w:rsid w:val="007A58AC"/>
    <w:rsid w:val="007A6CA3"/>
    <w:rsid w:val="007A7B62"/>
    <w:rsid w:val="007B04D4"/>
    <w:rsid w:val="007B14F4"/>
    <w:rsid w:val="007B16E6"/>
    <w:rsid w:val="007B351A"/>
    <w:rsid w:val="007B3645"/>
    <w:rsid w:val="007B3B96"/>
    <w:rsid w:val="007B432A"/>
    <w:rsid w:val="007B5F81"/>
    <w:rsid w:val="007B6164"/>
    <w:rsid w:val="007B7F22"/>
    <w:rsid w:val="007C0336"/>
    <w:rsid w:val="007C1DFA"/>
    <w:rsid w:val="007C65ED"/>
    <w:rsid w:val="007C66C2"/>
    <w:rsid w:val="007C6774"/>
    <w:rsid w:val="007C73B5"/>
    <w:rsid w:val="007C75EB"/>
    <w:rsid w:val="007D203B"/>
    <w:rsid w:val="007D2725"/>
    <w:rsid w:val="007D2781"/>
    <w:rsid w:val="007D578D"/>
    <w:rsid w:val="007D5A9A"/>
    <w:rsid w:val="007D6E2B"/>
    <w:rsid w:val="007D7205"/>
    <w:rsid w:val="007D7636"/>
    <w:rsid w:val="007E0BBF"/>
    <w:rsid w:val="007E13CE"/>
    <w:rsid w:val="007E3362"/>
    <w:rsid w:val="007E35B5"/>
    <w:rsid w:val="007E4CB5"/>
    <w:rsid w:val="007F047F"/>
    <w:rsid w:val="007F2DCC"/>
    <w:rsid w:val="007F4752"/>
    <w:rsid w:val="007F5351"/>
    <w:rsid w:val="007F567C"/>
    <w:rsid w:val="007F6463"/>
    <w:rsid w:val="007F6C7B"/>
    <w:rsid w:val="007F750E"/>
    <w:rsid w:val="008022C3"/>
    <w:rsid w:val="008043FD"/>
    <w:rsid w:val="008048FA"/>
    <w:rsid w:val="00804EDC"/>
    <w:rsid w:val="00805E7D"/>
    <w:rsid w:val="0080619C"/>
    <w:rsid w:val="00806268"/>
    <w:rsid w:val="00807464"/>
    <w:rsid w:val="00807EC9"/>
    <w:rsid w:val="00811D40"/>
    <w:rsid w:val="00812267"/>
    <w:rsid w:val="0081227F"/>
    <w:rsid w:val="0081498C"/>
    <w:rsid w:val="00815FE1"/>
    <w:rsid w:val="00816AF3"/>
    <w:rsid w:val="00820216"/>
    <w:rsid w:val="008235EC"/>
    <w:rsid w:val="00824BB8"/>
    <w:rsid w:val="00825984"/>
    <w:rsid w:val="00826A79"/>
    <w:rsid w:val="00826FF2"/>
    <w:rsid w:val="00827492"/>
    <w:rsid w:val="008303FD"/>
    <w:rsid w:val="00830C9E"/>
    <w:rsid w:val="00830FBC"/>
    <w:rsid w:val="008315F2"/>
    <w:rsid w:val="00831D7C"/>
    <w:rsid w:val="00831DA7"/>
    <w:rsid w:val="0083258C"/>
    <w:rsid w:val="00833386"/>
    <w:rsid w:val="00833AAB"/>
    <w:rsid w:val="00840029"/>
    <w:rsid w:val="00842335"/>
    <w:rsid w:val="008423BF"/>
    <w:rsid w:val="00842550"/>
    <w:rsid w:val="0084271B"/>
    <w:rsid w:val="008435A7"/>
    <w:rsid w:val="0084429E"/>
    <w:rsid w:val="0084467F"/>
    <w:rsid w:val="008446F0"/>
    <w:rsid w:val="00844F01"/>
    <w:rsid w:val="00845ABB"/>
    <w:rsid w:val="0084660E"/>
    <w:rsid w:val="008504A5"/>
    <w:rsid w:val="00850E80"/>
    <w:rsid w:val="00853B5D"/>
    <w:rsid w:val="00853C9D"/>
    <w:rsid w:val="00856448"/>
    <w:rsid w:val="0085678F"/>
    <w:rsid w:val="00856A98"/>
    <w:rsid w:val="00856C36"/>
    <w:rsid w:val="008574BF"/>
    <w:rsid w:val="008600F7"/>
    <w:rsid w:val="00860181"/>
    <w:rsid w:val="00860FB9"/>
    <w:rsid w:val="008610E6"/>
    <w:rsid w:val="00861398"/>
    <w:rsid w:val="0086237D"/>
    <w:rsid w:val="008633C4"/>
    <w:rsid w:val="00863B71"/>
    <w:rsid w:val="00864E9C"/>
    <w:rsid w:val="0086619C"/>
    <w:rsid w:val="0086631F"/>
    <w:rsid w:val="00871868"/>
    <w:rsid w:val="00872213"/>
    <w:rsid w:val="008743AB"/>
    <w:rsid w:val="00875277"/>
    <w:rsid w:val="00875898"/>
    <w:rsid w:val="00880F4E"/>
    <w:rsid w:val="008811E0"/>
    <w:rsid w:val="00881C4A"/>
    <w:rsid w:val="0088240B"/>
    <w:rsid w:val="00885DF1"/>
    <w:rsid w:val="00892924"/>
    <w:rsid w:val="00892EA6"/>
    <w:rsid w:val="00894632"/>
    <w:rsid w:val="00895626"/>
    <w:rsid w:val="00897EBB"/>
    <w:rsid w:val="008A37A9"/>
    <w:rsid w:val="008A4591"/>
    <w:rsid w:val="008A55E1"/>
    <w:rsid w:val="008A5A93"/>
    <w:rsid w:val="008A63E2"/>
    <w:rsid w:val="008A7280"/>
    <w:rsid w:val="008A757A"/>
    <w:rsid w:val="008B136E"/>
    <w:rsid w:val="008B14CD"/>
    <w:rsid w:val="008B2762"/>
    <w:rsid w:val="008B2A90"/>
    <w:rsid w:val="008B33DC"/>
    <w:rsid w:val="008B54C0"/>
    <w:rsid w:val="008B675A"/>
    <w:rsid w:val="008B6D92"/>
    <w:rsid w:val="008B6DCA"/>
    <w:rsid w:val="008B7017"/>
    <w:rsid w:val="008B7451"/>
    <w:rsid w:val="008C0DE6"/>
    <w:rsid w:val="008C4C27"/>
    <w:rsid w:val="008C6503"/>
    <w:rsid w:val="008C6BB3"/>
    <w:rsid w:val="008C7FCF"/>
    <w:rsid w:val="008D1A9E"/>
    <w:rsid w:val="008D2A13"/>
    <w:rsid w:val="008D6865"/>
    <w:rsid w:val="008D6C56"/>
    <w:rsid w:val="008D72F9"/>
    <w:rsid w:val="008E1419"/>
    <w:rsid w:val="008E22C6"/>
    <w:rsid w:val="008E2656"/>
    <w:rsid w:val="008E32E2"/>
    <w:rsid w:val="008E4710"/>
    <w:rsid w:val="008E47AE"/>
    <w:rsid w:val="008E4F29"/>
    <w:rsid w:val="008E5A2B"/>
    <w:rsid w:val="008E6573"/>
    <w:rsid w:val="008F07E7"/>
    <w:rsid w:val="008F18C7"/>
    <w:rsid w:val="008F2DA6"/>
    <w:rsid w:val="008F30A8"/>
    <w:rsid w:val="008F38CE"/>
    <w:rsid w:val="008F44DB"/>
    <w:rsid w:val="008F49C9"/>
    <w:rsid w:val="008F4C04"/>
    <w:rsid w:val="008F63B1"/>
    <w:rsid w:val="008F79E8"/>
    <w:rsid w:val="008F7ACF"/>
    <w:rsid w:val="00900228"/>
    <w:rsid w:val="009034A9"/>
    <w:rsid w:val="00903A5C"/>
    <w:rsid w:val="00905984"/>
    <w:rsid w:val="0090777F"/>
    <w:rsid w:val="00907CED"/>
    <w:rsid w:val="00907EB9"/>
    <w:rsid w:val="0091180C"/>
    <w:rsid w:val="00911D67"/>
    <w:rsid w:val="00912AD3"/>
    <w:rsid w:val="00912DF3"/>
    <w:rsid w:val="009138C0"/>
    <w:rsid w:val="00913A46"/>
    <w:rsid w:val="00914579"/>
    <w:rsid w:val="00914959"/>
    <w:rsid w:val="00915B5A"/>
    <w:rsid w:val="0091670B"/>
    <w:rsid w:val="00917622"/>
    <w:rsid w:val="0091798E"/>
    <w:rsid w:val="00917E63"/>
    <w:rsid w:val="0092179E"/>
    <w:rsid w:val="00923177"/>
    <w:rsid w:val="00927240"/>
    <w:rsid w:val="00927298"/>
    <w:rsid w:val="00930359"/>
    <w:rsid w:val="00933A6A"/>
    <w:rsid w:val="009341C4"/>
    <w:rsid w:val="009348D2"/>
    <w:rsid w:val="00934B16"/>
    <w:rsid w:val="00937329"/>
    <w:rsid w:val="00937F5F"/>
    <w:rsid w:val="00940ED4"/>
    <w:rsid w:val="00941E15"/>
    <w:rsid w:val="0094436C"/>
    <w:rsid w:val="009445CC"/>
    <w:rsid w:val="009459B7"/>
    <w:rsid w:val="00945C85"/>
    <w:rsid w:val="009460D0"/>
    <w:rsid w:val="00946322"/>
    <w:rsid w:val="00946942"/>
    <w:rsid w:val="00951585"/>
    <w:rsid w:val="0095190F"/>
    <w:rsid w:val="00951AC7"/>
    <w:rsid w:val="0095332B"/>
    <w:rsid w:val="0095389A"/>
    <w:rsid w:val="00955375"/>
    <w:rsid w:val="00955D8F"/>
    <w:rsid w:val="00955EC6"/>
    <w:rsid w:val="0095689D"/>
    <w:rsid w:val="0095757A"/>
    <w:rsid w:val="00961463"/>
    <w:rsid w:val="0096148B"/>
    <w:rsid w:val="00961612"/>
    <w:rsid w:val="009617D5"/>
    <w:rsid w:val="00963583"/>
    <w:rsid w:val="00964D81"/>
    <w:rsid w:val="00965527"/>
    <w:rsid w:val="00966DF3"/>
    <w:rsid w:val="00970B3E"/>
    <w:rsid w:val="00972817"/>
    <w:rsid w:val="00972CAC"/>
    <w:rsid w:val="00974C94"/>
    <w:rsid w:val="00976D80"/>
    <w:rsid w:val="0098150C"/>
    <w:rsid w:val="009816D5"/>
    <w:rsid w:val="00984DE7"/>
    <w:rsid w:val="0098529B"/>
    <w:rsid w:val="0098683E"/>
    <w:rsid w:val="00986CC8"/>
    <w:rsid w:val="00987531"/>
    <w:rsid w:val="00992196"/>
    <w:rsid w:val="009924C3"/>
    <w:rsid w:val="00995011"/>
    <w:rsid w:val="0099745B"/>
    <w:rsid w:val="009A10B2"/>
    <w:rsid w:val="009A1D41"/>
    <w:rsid w:val="009A32B1"/>
    <w:rsid w:val="009A362D"/>
    <w:rsid w:val="009A4563"/>
    <w:rsid w:val="009A586B"/>
    <w:rsid w:val="009B0F7C"/>
    <w:rsid w:val="009B16AB"/>
    <w:rsid w:val="009B2F71"/>
    <w:rsid w:val="009B4614"/>
    <w:rsid w:val="009C021F"/>
    <w:rsid w:val="009C10D6"/>
    <w:rsid w:val="009C73EB"/>
    <w:rsid w:val="009C7F31"/>
    <w:rsid w:val="009D15CE"/>
    <w:rsid w:val="009D1889"/>
    <w:rsid w:val="009D1DD2"/>
    <w:rsid w:val="009D6CAB"/>
    <w:rsid w:val="009D6F13"/>
    <w:rsid w:val="009D733E"/>
    <w:rsid w:val="009E015B"/>
    <w:rsid w:val="009E2B57"/>
    <w:rsid w:val="009E31DF"/>
    <w:rsid w:val="009E37A0"/>
    <w:rsid w:val="009E5520"/>
    <w:rsid w:val="009F0C75"/>
    <w:rsid w:val="009F14BA"/>
    <w:rsid w:val="009F217D"/>
    <w:rsid w:val="009F2FE0"/>
    <w:rsid w:val="009F4295"/>
    <w:rsid w:val="009F49A9"/>
    <w:rsid w:val="009F5166"/>
    <w:rsid w:val="009F7753"/>
    <w:rsid w:val="009F7DE7"/>
    <w:rsid w:val="00A01624"/>
    <w:rsid w:val="00A0164D"/>
    <w:rsid w:val="00A019CF"/>
    <w:rsid w:val="00A01B26"/>
    <w:rsid w:val="00A01D3C"/>
    <w:rsid w:val="00A02831"/>
    <w:rsid w:val="00A03458"/>
    <w:rsid w:val="00A037B5"/>
    <w:rsid w:val="00A03E00"/>
    <w:rsid w:val="00A04BBB"/>
    <w:rsid w:val="00A07596"/>
    <w:rsid w:val="00A100CA"/>
    <w:rsid w:val="00A10FC8"/>
    <w:rsid w:val="00A111D7"/>
    <w:rsid w:val="00A11362"/>
    <w:rsid w:val="00A11E47"/>
    <w:rsid w:val="00A1253A"/>
    <w:rsid w:val="00A1349C"/>
    <w:rsid w:val="00A13A1D"/>
    <w:rsid w:val="00A164B1"/>
    <w:rsid w:val="00A17D9D"/>
    <w:rsid w:val="00A2280B"/>
    <w:rsid w:val="00A24CEE"/>
    <w:rsid w:val="00A24DE9"/>
    <w:rsid w:val="00A25A64"/>
    <w:rsid w:val="00A26FC8"/>
    <w:rsid w:val="00A33DED"/>
    <w:rsid w:val="00A35277"/>
    <w:rsid w:val="00A35BA0"/>
    <w:rsid w:val="00A3617F"/>
    <w:rsid w:val="00A36A33"/>
    <w:rsid w:val="00A379C9"/>
    <w:rsid w:val="00A40346"/>
    <w:rsid w:val="00A424DD"/>
    <w:rsid w:val="00A42C3B"/>
    <w:rsid w:val="00A42CFF"/>
    <w:rsid w:val="00A44430"/>
    <w:rsid w:val="00A45070"/>
    <w:rsid w:val="00A4683F"/>
    <w:rsid w:val="00A51DC6"/>
    <w:rsid w:val="00A53007"/>
    <w:rsid w:val="00A5467D"/>
    <w:rsid w:val="00A55403"/>
    <w:rsid w:val="00A5578C"/>
    <w:rsid w:val="00A557E0"/>
    <w:rsid w:val="00A5646C"/>
    <w:rsid w:val="00A6045F"/>
    <w:rsid w:val="00A60AA3"/>
    <w:rsid w:val="00A61B8D"/>
    <w:rsid w:val="00A61C58"/>
    <w:rsid w:val="00A62180"/>
    <w:rsid w:val="00A62C59"/>
    <w:rsid w:val="00A651B3"/>
    <w:rsid w:val="00A6663B"/>
    <w:rsid w:val="00A66ACB"/>
    <w:rsid w:val="00A67030"/>
    <w:rsid w:val="00A67F67"/>
    <w:rsid w:val="00A7123E"/>
    <w:rsid w:val="00A73160"/>
    <w:rsid w:val="00A732C9"/>
    <w:rsid w:val="00A74830"/>
    <w:rsid w:val="00A7570F"/>
    <w:rsid w:val="00A75B5B"/>
    <w:rsid w:val="00A75B91"/>
    <w:rsid w:val="00A76892"/>
    <w:rsid w:val="00A7741D"/>
    <w:rsid w:val="00A80543"/>
    <w:rsid w:val="00A814B4"/>
    <w:rsid w:val="00A81B5D"/>
    <w:rsid w:val="00A81E61"/>
    <w:rsid w:val="00A83888"/>
    <w:rsid w:val="00A83C77"/>
    <w:rsid w:val="00A83FB7"/>
    <w:rsid w:val="00A84636"/>
    <w:rsid w:val="00A8565F"/>
    <w:rsid w:val="00A85B36"/>
    <w:rsid w:val="00A86893"/>
    <w:rsid w:val="00A86FB8"/>
    <w:rsid w:val="00A875AC"/>
    <w:rsid w:val="00A876F9"/>
    <w:rsid w:val="00A9019B"/>
    <w:rsid w:val="00A906A9"/>
    <w:rsid w:val="00A919AE"/>
    <w:rsid w:val="00A92D2A"/>
    <w:rsid w:val="00A931A9"/>
    <w:rsid w:val="00A94250"/>
    <w:rsid w:val="00A94544"/>
    <w:rsid w:val="00A9487B"/>
    <w:rsid w:val="00A9707A"/>
    <w:rsid w:val="00AA09BB"/>
    <w:rsid w:val="00AA10B8"/>
    <w:rsid w:val="00AA151F"/>
    <w:rsid w:val="00AA29EF"/>
    <w:rsid w:val="00AA2E6B"/>
    <w:rsid w:val="00AA3A31"/>
    <w:rsid w:val="00AA5285"/>
    <w:rsid w:val="00AA5A41"/>
    <w:rsid w:val="00AA5D3D"/>
    <w:rsid w:val="00AA61F4"/>
    <w:rsid w:val="00AA642C"/>
    <w:rsid w:val="00AA68B4"/>
    <w:rsid w:val="00AA76E8"/>
    <w:rsid w:val="00AA7B58"/>
    <w:rsid w:val="00AA7FA6"/>
    <w:rsid w:val="00AB12FA"/>
    <w:rsid w:val="00AB28DC"/>
    <w:rsid w:val="00AB3059"/>
    <w:rsid w:val="00AB32F5"/>
    <w:rsid w:val="00AB41FE"/>
    <w:rsid w:val="00AB656F"/>
    <w:rsid w:val="00AB7F13"/>
    <w:rsid w:val="00AC0457"/>
    <w:rsid w:val="00AC18FC"/>
    <w:rsid w:val="00AC39BB"/>
    <w:rsid w:val="00AC70A5"/>
    <w:rsid w:val="00AD0A9D"/>
    <w:rsid w:val="00AD1071"/>
    <w:rsid w:val="00AD14E2"/>
    <w:rsid w:val="00AD1E3E"/>
    <w:rsid w:val="00AD30D7"/>
    <w:rsid w:val="00AD543B"/>
    <w:rsid w:val="00AD632A"/>
    <w:rsid w:val="00AD69E7"/>
    <w:rsid w:val="00AD72EE"/>
    <w:rsid w:val="00AD74C0"/>
    <w:rsid w:val="00AE252C"/>
    <w:rsid w:val="00AE30F1"/>
    <w:rsid w:val="00AE4BA2"/>
    <w:rsid w:val="00AE501D"/>
    <w:rsid w:val="00AE5843"/>
    <w:rsid w:val="00AE7194"/>
    <w:rsid w:val="00AE7763"/>
    <w:rsid w:val="00AF1CC6"/>
    <w:rsid w:val="00AF5C10"/>
    <w:rsid w:val="00AF64C2"/>
    <w:rsid w:val="00B03EFB"/>
    <w:rsid w:val="00B05AA3"/>
    <w:rsid w:val="00B06415"/>
    <w:rsid w:val="00B1069F"/>
    <w:rsid w:val="00B11F98"/>
    <w:rsid w:val="00B12C23"/>
    <w:rsid w:val="00B14626"/>
    <w:rsid w:val="00B15F05"/>
    <w:rsid w:val="00B173D0"/>
    <w:rsid w:val="00B1793A"/>
    <w:rsid w:val="00B17C66"/>
    <w:rsid w:val="00B22118"/>
    <w:rsid w:val="00B25D7F"/>
    <w:rsid w:val="00B263EC"/>
    <w:rsid w:val="00B26856"/>
    <w:rsid w:val="00B269E3"/>
    <w:rsid w:val="00B26A01"/>
    <w:rsid w:val="00B30756"/>
    <w:rsid w:val="00B30B92"/>
    <w:rsid w:val="00B339A8"/>
    <w:rsid w:val="00B34725"/>
    <w:rsid w:val="00B34F4F"/>
    <w:rsid w:val="00B36CA1"/>
    <w:rsid w:val="00B41052"/>
    <w:rsid w:val="00B41955"/>
    <w:rsid w:val="00B41C76"/>
    <w:rsid w:val="00B45610"/>
    <w:rsid w:val="00B46AB7"/>
    <w:rsid w:val="00B474FC"/>
    <w:rsid w:val="00B47672"/>
    <w:rsid w:val="00B47DD3"/>
    <w:rsid w:val="00B501FA"/>
    <w:rsid w:val="00B525B4"/>
    <w:rsid w:val="00B53B13"/>
    <w:rsid w:val="00B54613"/>
    <w:rsid w:val="00B54B72"/>
    <w:rsid w:val="00B55FF7"/>
    <w:rsid w:val="00B56607"/>
    <w:rsid w:val="00B5687A"/>
    <w:rsid w:val="00B56DDF"/>
    <w:rsid w:val="00B571DA"/>
    <w:rsid w:val="00B60AE1"/>
    <w:rsid w:val="00B62C80"/>
    <w:rsid w:val="00B6342A"/>
    <w:rsid w:val="00B634D8"/>
    <w:rsid w:val="00B63673"/>
    <w:rsid w:val="00B64BDB"/>
    <w:rsid w:val="00B662CE"/>
    <w:rsid w:val="00B72015"/>
    <w:rsid w:val="00B720FF"/>
    <w:rsid w:val="00B73F85"/>
    <w:rsid w:val="00B75367"/>
    <w:rsid w:val="00B75559"/>
    <w:rsid w:val="00B763E2"/>
    <w:rsid w:val="00B770E9"/>
    <w:rsid w:val="00B775BE"/>
    <w:rsid w:val="00B8232B"/>
    <w:rsid w:val="00B82AC7"/>
    <w:rsid w:val="00B833B9"/>
    <w:rsid w:val="00B8434D"/>
    <w:rsid w:val="00B91803"/>
    <w:rsid w:val="00B92963"/>
    <w:rsid w:val="00B941F8"/>
    <w:rsid w:val="00B94D76"/>
    <w:rsid w:val="00B96107"/>
    <w:rsid w:val="00B963D6"/>
    <w:rsid w:val="00B96FBE"/>
    <w:rsid w:val="00B97470"/>
    <w:rsid w:val="00B977C5"/>
    <w:rsid w:val="00BA006E"/>
    <w:rsid w:val="00BA02D1"/>
    <w:rsid w:val="00BA0E11"/>
    <w:rsid w:val="00BA0F93"/>
    <w:rsid w:val="00BA25E3"/>
    <w:rsid w:val="00BA2684"/>
    <w:rsid w:val="00BA30A9"/>
    <w:rsid w:val="00BA43DE"/>
    <w:rsid w:val="00BA5377"/>
    <w:rsid w:val="00BA5F7A"/>
    <w:rsid w:val="00BA7A0F"/>
    <w:rsid w:val="00BA7BD8"/>
    <w:rsid w:val="00BB01D1"/>
    <w:rsid w:val="00BB0680"/>
    <w:rsid w:val="00BB0F15"/>
    <w:rsid w:val="00BB1AD9"/>
    <w:rsid w:val="00BB1B0D"/>
    <w:rsid w:val="00BB2B90"/>
    <w:rsid w:val="00BB4AF4"/>
    <w:rsid w:val="00BB74A9"/>
    <w:rsid w:val="00BC1F80"/>
    <w:rsid w:val="00BC2BC9"/>
    <w:rsid w:val="00BC381D"/>
    <w:rsid w:val="00BC3B88"/>
    <w:rsid w:val="00BC51F0"/>
    <w:rsid w:val="00BC6409"/>
    <w:rsid w:val="00BD0510"/>
    <w:rsid w:val="00BD06B9"/>
    <w:rsid w:val="00BD3059"/>
    <w:rsid w:val="00BD35A3"/>
    <w:rsid w:val="00BD3C31"/>
    <w:rsid w:val="00BD4DCC"/>
    <w:rsid w:val="00BD5108"/>
    <w:rsid w:val="00BD6365"/>
    <w:rsid w:val="00BD6B8D"/>
    <w:rsid w:val="00BD7D92"/>
    <w:rsid w:val="00BE224C"/>
    <w:rsid w:val="00BE4139"/>
    <w:rsid w:val="00BE5DDF"/>
    <w:rsid w:val="00BE6D7F"/>
    <w:rsid w:val="00BF1139"/>
    <w:rsid w:val="00BF11EC"/>
    <w:rsid w:val="00BF2107"/>
    <w:rsid w:val="00BF3852"/>
    <w:rsid w:val="00BF61E0"/>
    <w:rsid w:val="00BF64DE"/>
    <w:rsid w:val="00BF7844"/>
    <w:rsid w:val="00BF7F81"/>
    <w:rsid w:val="00C00941"/>
    <w:rsid w:val="00C022A3"/>
    <w:rsid w:val="00C028B7"/>
    <w:rsid w:val="00C033FD"/>
    <w:rsid w:val="00C049A1"/>
    <w:rsid w:val="00C04CAF"/>
    <w:rsid w:val="00C06273"/>
    <w:rsid w:val="00C07B08"/>
    <w:rsid w:val="00C07CE5"/>
    <w:rsid w:val="00C07D69"/>
    <w:rsid w:val="00C10E16"/>
    <w:rsid w:val="00C11453"/>
    <w:rsid w:val="00C11661"/>
    <w:rsid w:val="00C11E16"/>
    <w:rsid w:val="00C11EAC"/>
    <w:rsid w:val="00C1302F"/>
    <w:rsid w:val="00C14310"/>
    <w:rsid w:val="00C14539"/>
    <w:rsid w:val="00C14E7B"/>
    <w:rsid w:val="00C16B40"/>
    <w:rsid w:val="00C17BBB"/>
    <w:rsid w:val="00C17EE3"/>
    <w:rsid w:val="00C22406"/>
    <w:rsid w:val="00C225D2"/>
    <w:rsid w:val="00C23277"/>
    <w:rsid w:val="00C24646"/>
    <w:rsid w:val="00C25967"/>
    <w:rsid w:val="00C25C7B"/>
    <w:rsid w:val="00C25DC1"/>
    <w:rsid w:val="00C25FCA"/>
    <w:rsid w:val="00C26F01"/>
    <w:rsid w:val="00C30620"/>
    <w:rsid w:val="00C30853"/>
    <w:rsid w:val="00C32507"/>
    <w:rsid w:val="00C33707"/>
    <w:rsid w:val="00C339D7"/>
    <w:rsid w:val="00C33FDB"/>
    <w:rsid w:val="00C34D5E"/>
    <w:rsid w:val="00C35F16"/>
    <w:rsid w:val="00C365EF"/>
    <w:rsid w:val="00C36ED0"/>
    <w:rsid w:val="00C37126"/>
    <w:rsid w:val="00C3736F"/>
    <w:rsid w:val="00C40280"/>
    <w:rsid w:val="00C40AD5"/>
    <w:rsid w:val="00C43189"/>
    <w:rsid w:val="00C43D7F"/>
    <w:rsid w:val="00C43E13"/>
    <w:rsid w:val="00C47C52"/>
    <w:rsid w:val="00C47CAF"/>
    <w:rsid w:val="00C47DF1"/>
    <w:rsid w:val="00C52511"/>
    <w:rsid w:val="00C5399E"/>
    <w:rsid w:val="00C549BA"/>
    <w:rsid w:val="00C54BDF"/>
    <w:rsid w:val="00C56AE5"/>
    <w:rsid w:val="00C57942"/>
    <w:rsid w:val="00C60208"/>
    <w:rsid w:val="00C602E3"/>
    <w:rsid w:val="00C611B5"/>
    <w:rsid w:val="00C618CB"/>
    <w:rsid w:val="00C62A15"/>
    <w:rsid w:val="00C62B5C"/>
    <w:rsid w:val="00C6377A"/>
    <w:rsid w:val="00C64484"/>
    <w:rsid w:val="00C6586A"/>
    <w:rsid w:val="00C70B62"/>
    <w:rsid w:val="00C7381C"/>
    <w:rsid w:val="00C73901"/>
    <w:rsid w:val="00C73E56"/>
    <w:rsid w:val="00C742D5"/>
    <w:rsid w:val="00C74AA0"/>
    <w:rsid w:val="00C74E8C"/>
    <w:rsid w:val="00C74E9D"/>
    <w:rsid w:val="00C74F61"/>
    <w:rsid w:val="00C76954"/>
    <w:rsid w:val="00C7783B"/>
    <w:rsid w:val="00C779AB"/>
    <w:rsid w:val="00C820C5"/>
    <w:rsid w:val="00C82483"/>
    <w:rsid w:val="00C82F75"/>
    <w:rsid w:val="00C83D5B"/>
    <w:rsid w:val="00C84893"/>
    <w:rsid w:val="00C85B82"/>
    <w:rsid w:val="00C85C09"/>
    <w:rsid w:val="00C86061"/>
    <w:rsid w:val="00C87BCE"/>
    <w:rsid w:val="00C9072C"/>
    <w:rsid w:val="00C90A83"/>
    <w:rsid w:val="00C925ED"/>
    <w:rsid w:val="00C92B73"/>
    <w:rsid w:val="00C95AFF"/>
    <w:rsid w:val="00C9666A"/>
    <w:rsid w:val="00C97747"/>
    <w:rsid w:val="00CA1FDF"/>
    <w:rsid w:val="00CA293E"/>
    <w:rsid w:val="00CA42F3"/>
    <w:rsid w:val="00CA48EB"/>
    <w:rsid w:val="00CA5017"/>
    <w:rsid w:val="00CA5648"/>
    <w:rsid w:val="00CA778C"/>
    <w:rsid w:val="00CB1758"/>
    <w:rsid w:val="00CB225C"/>
    <w:rsid w:val="00CB3D3D"/>
    <w:rsid w:val="00CB50AC"/>
    <w:rsid w:val="00CB5964"/>
    <w:rsid w:val="00CB599D"/>
    <w:rsid w:val="00CB6116"/>
    <w:rsid w:val="00CB6B3E"/>
    <w:rsid w:val="00CB6E3B"/>
    <w:rsid w:val="00CC0E00"/>
    <w:rsid w:val="00CC26CA"/>
    <w:rsid w:val="00CC41F1"/>
    <w:rsid w:val="00CC4835"/>
    <w:rsid w:val="00CC68BA"/>
    <w:rsid w:val="00CC6910"/>
    <w:rsid w:val="00CD0AB6"/>
    <w:rsid w:val="00CD0E60"/>
    <w:rsid w:val="00CD2851"/>
    <w:rsid w:val="00CD2F3D"/>
    <w:rsid w:val="00CD49E4"/>
    <w:rsid w:val="00CD5826"/>
    <w:rsid w:val="00CD62E8"/>
    <w:rsid w:val="00CD6425"/>
    <w:rsid w:val="00CD6CC9"/>
    <w:rsid w:val="00CE0F98"/>
    <w:rsid w:val="00CE1394"/>
    <w:rsid w:val="00CE13BB"/>
    <w:rsid w:val="00CE18F0"/>
    <w:rsid w:val="00CE268E"/>
    <w:rsid w:val="00CE2A3A"/>
    <w:rsid w:val="00CE3920"/>
    <w:rsid w:val="00CE5719"/>
    <w:rsid w:val="00CE6289"/>
    <w:rsid w:val="00CF092F"/>
    <w:rsid w:val="00CF29CD"/>
    <w:rsid w:val="00CF509F"/>
    <w:rsid w:val="00CF6AF0"/>
    <w:rsid w:val="00CF7E75"/>
    <w:rsid w:val="00D0030F"/>
    <w:rsid w:val="00D0055E"/>
    <w:rsid w:val="00D00D0B"/>
    <w:rsid w:val="00D013C7"/>
    <w:rsid w:val="00D01882"/>
    <w:rsid w:val="00D02E53"/>
    <w:rsid w:val="00D036CF"/>
    <w:rsid w:val="00D03E6E"/>
    <w:rsid w:val="00D04BD6"/>
    <w:rsid w:val="00D05BFE"/>
    <w:rsid w:val="00D06A10"/>
    <w:rsid w:val="00D10647"/>
    <w:rsid w:val="00D115DB"/>
    <w:rsid w:val="00D125C2"/>
    <w:rsid w:val="00D13260"/>
    <w:rsid w:val="00D14CCE"/>
    <w:rsid w:val="00D160CB"/>
    <w:rsid w:val="00D16553"/>
    <w:rsid w:val="00D1684F"/>
    <w:rsid w:val="00D170CE"/>
    <w:rsid w:val="00D1726E"/>
    <w:rsid w:val="00D17DA6"/>
    <w:rsid w:val="00D20ACA"/>
    <w:rsid w:val="00D21C8D"/>
    <w:rsid w:val="00D22593"/>
    <w:rsid w:val="00D23F24"/>
    <w:rsid w:val="00D24546"/>
    <w:rsid w:val="00D261A4"/>
    <w:rsid w:val="00D30852"/>
    <w:rsid w:val="00D35B74"/>
    <w:rsid w:val="00D37530"/>
    <w:rsid w:val="00D3788E"/>
    <w:rsid w:val="00D37AF9"/>
    <w:rsid w:val="00D41369"/>
    <w:rsid w:val="00D4386B"/>
    <w:rsid w:val="00D43B39"/>
    <w:rsid w:val="00D448F3"/>
    <w:rsid w:val="00D45EC3"/>
    <w:rsid w:val="00D46184"/>
    <w:rsid w:val="00D47B44"/>
    <w:rsid w:val="00D50A05"/>
    <w:rsid w:val="00D54F43"/>
    <w:rsid w:val="00D57E3E"/>
    <w:rsid w:val="00D60D3D"/>
    <w:rsid w:val="00D61B9A"/>
    <w:rsid w:val="00D64356"/>
    <w:rsid w:val="00D661F0"/>
    <w:rsid w:val="00D66535"/>
    <w:rsid w:val="00D66D19"/>
    <w:rsid w:val="00D72852"/>
    <w:rsid w:val="00D74BCC"/>
    <w:rsid w:val="00D76373"/>
    <w:rsid w:val="00D773A5"/>
    <w:rsid w:val="00D819F8"/>
    <w:rsid w:val="00D820D8"/>
    <w:rsid w:val="00D821C1"/>
    <w:rsid w:val="00D82EE0"/>
    <w:rsid w:val="00D837F1"/>
    <w:rsid w:val="00D900CF"/>
    <w:rsid w:val="00D90BC6"/>
    <w:rsid w:val="00D90DDC"/>
    <w:rsid w:val="00D95906"/>
    <w:rsid w:val="00D9734B"/>
    <w:rsid w:val="00D97451"/>
    <w:rsid w:val="00D9779E"/>
    <w:rsid w:val="00DA0643"/>
    <w:rsid w:val="00DA0D5C"/>
    <w:rsid w:val="00DA0FAB"/>
    <w:rsid w:val="00DA14F1"/>
    <w:rsid w:val="00DA3584"/>
    <w:rsid w:val="00DA3A04"/>
    <w:rsid w:val="00DA4D33"/>
    <w:rsid w:val="00DA4FB4"/>
    <w:rsid w:val="00DA5187"/>
    <w:rsid w:val="00DA5A0E"/>
    <w:rsid w:val="00DA5CA2"/>
    <w:rsid w:val="00DA6AD8"/>
    <w:rsid w:val="00DA6B22"/>
    <w:rsid w:val="00DA79F9"/>
    <w:rsid w:val="00DB2199"/>
    <w:rsid w:val="00DB238F"/>
    <w:rsid w:val="00DB2B69"/>
    <w:rsid w:val="00DB2B71"/>
    <w:rsid w:val="00DB4A62"/>
    <w:rsid w:val="00DB544D"/>
    <w:rsid w:val="00DB55A8"/>
    <w:rsid w:val="00DC00DD"/>
    <w:rsid w:val="00DC033C"/>
    <w:rsid w:val="00DC08D9"/>
    <w:rsid w:val="00DC1DFB"/>
    <w:rsid w:val="00DC1F86"/>
    <w:rsid w:val="00DC357D"/>
    <w:rsid w:val="00DC3B9E"/>
    <w:rsid w:val="00DC4637"/>
    <w:rsid w:val="00DC4B2D"/>
    <w:rsid w:val="00DC4BC3"/>
    <w:rsid w:val="00DD16A7"/>
    <w:rsid w:val="00DD24CB"/>
    <w:rsid w:val="00DD4552"/>
    <w:rsid w:val="00DD529B"/>
    <w:rsid w:val="00DD744D"/>
    <w:rsid w:val="00DE179E"/>
    <w:rsid w:val="00DE26A8"/>
    <w:rsid w:val="00DE4812"/>
    <w:rsid w:val="00DF166D"/>
    <w:rsid w:val="00DF1799"/>
    <w:rsid w:val="00DF3F8D"/>
    <w:rsid w:val="00DF6E03"/>
    <w:rsid w:val="00E00D51"/>
    <w:rsid w:val="00E01011"/>
    <w:rsid w:val="00E0158E"/>
    <w:rsid w:val="00E032CF"/>
    <w:rsid w:val="00E03595"/>
    <w:rsid w:val="00E03CF7"/>
    <w:rsid w:val="00E10371"/>
    <w:rsid w:val="00E10742"/>
    <w:rsid w:val="00E121E2"/>
    <w:rsid w:val="00E132C2"/>
    <w:rsid w:val="00E134C4"/>
    <w:rsid w:val="00E13F3A"/>
    <w:rsid w:val="00E14FC7"/>
    <w:rsid w:val="00E1534D"/>
    <w:rsid w:val="00E15C75"/>
    <w:rsid w:val="00E170AF"/>
    <w:rsid w:val="00E17EC2"/>
    <w:rsid w:val="00E220F4"/>
    <w:rsid w:val="00E23C44"/>
    <w:rsid w:val="00E24A24"/>
    <w:rsid w:val="00E24F48"/>
    <w:rsid w:val="00E26BFD"/>
    <w:rsid w:val="00E26DD5"/>
    <w:rsid w:val="00E31E64"/>
    <w:rsid w:val="00E326FB"/>
    <w:rsid w:val="00E3333D"/>
    <w:rsid w:val="00E344D5"/>
    <w:rsid w:val="00E362D1"/>
    <w:rsid w:val="00E37529"/>
    <w:rsid w:val="00E37549"/>
    <w:rsid w:val="00E401AF"/>
    <w:rsid w:val="00E41277"/>
    <w:rsid w:val="00E438F8"/>
    <w:rsid w:val="00E43E20"/>
    <w:rsid w:val="00E44523"/>
    <w:rsid w:val="00E4452B"/>
    <w:rsid w:val="00E45012"/>
    <w:rsid w:val="00E465BD"/>
    <w:rsid w:val="00E46CC1"/>
    <w:rsid w:val="00E46E24"/>
    <w:rsid w:val="00E538DA"/>
    <w:rsid w:val="00E556EB"/>
    <w:rsid w:val="00E556FA"/>
    <w:rsid w:val="00E55AAA"/>
    <w:rsid w:val="00E56E04"/>
    <w:rsid w:val="00E56E9B"/>
    <w:rsid w:val="00E57D1F"/>
    <w:rsid w:val="00E63965"/>
    <w:rsid w:val="00E667D7"/>
    <w:rsid w:val="00E6696B"/>
    <w:rsid w:val="00E67FAD"/>
    <w:rsid w:val="00E72FCC"/>
    <w:rsid w:val="00E7617B"/>
    <w:rsid w:val="00E764B4"/>
    <w:rsid w:val="00E764C2"/>
    <w:rsid w:val="00E7685D"/>
    <w:rsid w:val="00E8358B"/>
    <w:rsid w:val="00E837FF"/>
    <w:rsid w:val="00E838F4"/>
    <w:rsid w:val="00E8436B"/>
    <w:rsid w:val="00E86710"/>
    <w:rsid w:val="00E868A4"/>
    <w:rsid w:val="00E904EA"/>
    <w:rsid w:val="00E924C5"/>
    <w:rsid w:val="00E92CC2"/>
    <w:rsid w:val="00E92E75"/>
    <w:rsid w:val="00E93366"/>
    <w:rsid w:val="00E94715"/>
    <w:rsid w:val="00E95FAB"/>
    <w:rsid w:val="00EA1383"/>
    <w:rsid w:val="00EA1787"/>
    <w:rsid w:val="00EA1D5E"/>
    <w:rsid w:val="00EA3C9A"/>
    <w:rsid w:val="00EA42B3"/>
    <w:rsid w:val="00EA4E71"/>
    <w:rsid w:val="00EA50D2"/>
    <w:rsid w:val="00EA654D"/>
    <w:rsid w:val="00EA6615"/>
    <w:rsid w:val="00EA680E"/>
    <w:rsid w:val="00EB07DD"/>
    <w:rsid w:val="00EB0EAD"/>
    <w:rsid w:val="00EB22A6"/>
    <w:rsid w:val="00EB64C0"/>
    <w:rsid w:val="00EB7CEA"/>
    <w:rsid w:val="00EC115F"/>
    <w:rsid w:val="00EC2A99"/>
    <w:rsid w:val="00EC3A29"/>
    <w:rsid w:val="00EC4279"/>
    <w:rsid w:val="00EC42A6"/>
    <w:rsid w:val="00EC431A"/>
    <w:rsid w:val="00EC5D84"/>
    <w:rsid w:val="00EC631C"/>
    <w:rsid w:val="00EC6757"/>
    <w:rsid w:val="00EC69D5"/>
    <w:rsid w:val="00ED039F"/>
    <w:rsid w:val="00ED0CB3"/>
    <w:rsid w:val="00ED206B"/>
    <w:rsid w:val="00ED3274"/>
    <w:rsid w:val="00ED3F46"/>
    <w:rsid w:val="00ED4845"/>
    <w:rsid w:val="00ED4BDD"/>
    <w:rsid w:val="00ED50F0"/>
    <w:rsid w:val="00ED5628"/>
    <w:rsid w:val="00ED6C7E"/>
    <w:rsid w:val="00ED6CB9"/>
    <w:rsid w:val="00ED799B"/>
    <w:rsid w:val="00EE1DED"/>
    <w:rsid w:val="00EE2A04"/>
    <w:rsid w:val="00EE5474"/>
    <w:rsid w:val="00EE6DFC"/>
    <w:rsid w:val="00EE7067"/>
    <w:rsid w:val="00EF0925"/>
    <w:rsid w:val="00EF0C34"/>
    <w:rsid w:val="00EF223C"/>
    <w:rsid w:val="00EF2FD8"/>
    <w:rsid w:val="00EF30A8"/>
    <w:rsid w:val="00EF3656"/>
    <w:rsid w:val="00EF5C33"/>
    <w:rsid w:val="00EF5DA2"/>
    <w:rsid w:val="00EF77F1"/>
    <w:rsid w:val="00EF7B87"/>
    <w:rsid w:val="00F007A2"/>
    <w:rsid w:val="00F014B8"/>
    <w:rsid w:val="00F0470D"/>
    <w:rsid w:val="00F047B6"/>
    <w:rsid w:val="00F050CA"/>
    <w:rsid w:val="00F0595A"/>
    <w:rsid w:val="00F05979"/>
    <w:rsid w:val="00F07CF5"/>
    <w:rsid w:val="00F10AE7"/>
    <w:rsid w:val="00F12353"/>
    <w:rsid w:val="00F1288A"/>
    <w:rsid w:val="00F1341E"/>
    <w:rsid w:val="00F13B7B"/>
    <w:rsid w:val="00F14C74"/>
    <w:rsid w:val="00F14DC5"/>
    <w:rsid w:val="00F15030"/>
    <w:rsid w:val="00F150CA"/>
    <w:rsid w:val="00F15C3B"/>
    <w:rsid w:val="00F16170"/>
    <w:rsid w:val="00F165E2"/>
    <w:rsid w:val="00F211EF"/>
    <w:rsid w:val="00F22D5B"/>
    <w:rsid w:val="00F23F5C"/>
    <w:rsid w:val="00F241AA"/>
    <w:rsid w:val="00F250D4"/>
    <w:rsid w:val="00F256B0"/>
    <w:rsid w:val="00F256E0"/>
    <w:rsid w:val="00F26256"/>
    <w:rsid w:val="00F26AD9"/>
    <w:rsid w:val="00F27464"/>
    <w:rsid w:val="00F3042A"/>
    <w:rsid w:val="00F33235"/>
    <w:rsid w:val="00F34101"/>
    <w:rsid w:val="00F37643"/>
    <w:rsid w:val="00F37C29"/>
    <w:rsid w:val="00F40172"/>
    <w:rsid w:val="00F4091F"/>
    <w:rsid w:val="00F40B5F"/>
    <w:rsid w:val="00F41C89"/>
    <w:rsid w:val="00F428F7"/>
    <w:rsid w:val="00F4515D"/>
    <w:rsid w:val="00F467EC"/>
    <w:rsid w:val="00F46F03"/>
    <w:rsid w:val="00F50DF9"/>
    <w:rsid w:val="00F53B1B"/>
    <w:rsid w:val="00F53F0D"/>
    <w:rsid w:val="00F571B8"/>
    <w:rsid w:val="00F612E1"/>
    <w:rsid w:val="00F616CB"/>
    <w:rsid w:val="00F62360"/>
    <w:rsid w:val="00F62B8F"/>
    <w:rsid w:val="00F63409"/>
    <w:rsid w:val="00F647A2"/>
    <w:rsid w:val="00F647F5"/>
    <w:rsid w:val="00F64BEF"/>
    <w:rsid w:val="00F7180D"/>
    <w:rsid w:val="00F71E0C"/>
    <w:rsid w:val="00F740CE"/>
    <w:rsid w:val="00F74582"/>
    <w:rsid w:val="00F75179"/>
    <w:rsid w:val="00F76463"/>
    <w:rsid w:val="00F77EA1"/>
    <w:rsid w:val="00F800FD"/>
    <w:rsid w:val="00F81621"/>
    <w:rsid w:val="00F82520"/>
    <w:rsid w:val="00F82DC7"/>
    <w:rsid w:val="00F833A9"/>
    <w:rsid w:val="00F83E5D"/>
    <w:rsid w:val="00F84A02"/>
    <w:rsid w:val="00F84F4A"/>
    <w:rsid w:val="00F86AFC"/>
    <w:rsid w:val="00F879ED"/>
    <w:rsid w:val="00F87A79"/>
    <w:rsid w:val="00F87CAB"/>
    <w:rsid w:val="00F92323"/>
    <w:rsid w:val="00F949B7"/>
    <w:rsid w:val="00F96F51"/>
    <w:rsid w:val="00F97AA2"/>
    <w:rsid w:val="00F97AFB"/>
    <w:rsid w:val="00F97BDB"/>
    <w:rsid w:val="00F97D30"/>
    <w:rsid w:val="00FA06F3"/>
    <w:rsid w:val="00FA10F3"/>
    <w:rsid w:val="00FA27D2"/>
    <w:rsid w:val="00FA7D43"/>
    <w:rsid w:val="00FA7F50"/>
    <w:rsid w:val="00FB0889"/>
    <w:rsid w:val="00FB4BF9"/>
    <w:rsid w:val="00FB5B78"/>
    <w:rsid w:val="00FB6A2F"/>
    <w:rsid w:val="00FB79BE"/>
    <w:rsid w:val="00FB7FE9"/>
    <w:rsid w:val="00FC2C34"/>
    <w:rsid w:val="00FC4CEC"/>
    <w:rsid w:val="00FC51F8"/>
    <w:rsid w:val="00FC59D9"/>
    <w:rsid w:val="00FC5E42"/>
    <w:rsid w:val="00FC6077"/>
    <w:rsid w:val="00FC7854"/>
    <w:rsid w:val="00FC78F5"/>
    <w:rsid w:val="00FD07D5"/>
    <w:rsid w:val="00FD1633"/>
    <w:rsid w:val="00FD20E2"/>
    <w:rsid w:val="00FD2F8F"/>
    <w:rsid w:val="00FD3459"/>
    <w:rsid w:val="00FD518D"/>
    <w:rsid w:val="00FD5572"/>
    <w:rsid w:val="00FD5B46"/>
    <w:rsid w:val="00FD5BDC"/>
    <w:rsid w:val="00FD6E19"/>
    <w:rsid w:val="00FD7F11"/>
    <w:rsid w:val="00FE25C4"/>
    <w:rsid w:val="00FE3155"/>
    <w:rsid w:val="00FE345B"/>
    <w:rsid w:val="00FE5859"/>
    <w:rsid w:val="00FE7879"/>
    <w:rsid w:val="00FE7FD2"/>
    <w:rsid w:val="00FF077A"/>
    <w:rsid w:val="00FF1926"/>
    <w:rsid w:val="00FF3751"/>
    <w:rsid w:val="00FF4C3F"/>
    <w:rsid w:val="00FF4E41"/>
    <w:rsid w:val="018352F9"/>
    <w:rsid w:val="050B38F9"/>
    <w:rsid w:val="057E3312"/>
    <w:rsid w:val="06B51E02"/>
    <w:rsid w:val="070C5F9C"/>
    <w:rsid w:val="07BB6140"/>
    <w:rsid w:val="084D765B"/>
    <w:rsid w:val="08BF0E65"/>
    <w:rsid w:val="0AB6351E"/>
    <w:rsid w:val="0AC23F32"/>
    <w:rsid w:val="0B2F6AE5"/>
    <w:rsid w:val="0D004847"/>
    <w:rsid w:val="0D8E69BA"/>
    <w:rsid w:val="0DEB4085"/>
    <w:rsid w:val="0EF154CB"/>
    <w:rsid w:val="0F7743E0"/>
    <w:rsid w:val="114B5C9B"/>
    <w:rsid w:val="13486E2C"/>
    <w:rsid w:val="13536107"/>
    <w:rsid w:val="14C324EF"/>
    <w:rsid w:val="169D1326"/>
    <w:rsid w:val="171513A2"/>
    <w:rsid w:val="17214416"/>
    <w:rsid w:val="17681CF4"/>
    <w:rsid w:val="1A034FB6"/>
    <w:rsid w:val="1A2B2C4D"/>
    <w:rsid w:val="1CFC2716"/>
    <w:rsid w:val="1E76570A"/>
    <w:rsid w:val="220800F9"/>
    <w:rsid w:val="23EB090A"/>
    <w:rsid w:val="24726959"/>
    <w:rsid w:val="305F5BAC"/>
    <w:rsid w:val="31732CAF"/>
    <w:rsid w:val="318B3F9B"/>
    <w:rsid w:val="334B0F9B"/>
    <w:rsid w:val="36E630A0"/>
    <w:rsid w:val="3908401F"/>
    <w:rsid w:val="392B56BF"/>
    <w:rsid w:val="3A0D38CD"/>
    <w:rsid w:val="3A827E23"/>
    <w:rsid w:val="3B8636F7"/>
    <w:rsid w:val="3C8975C2"/>
    <w:rsid w:val="3D140078"/>
    <w:rsid w:val="3D4E494A"/>
    <w:rsid w:val="402B05CD"/>
    <w:rsid w:val="40FB480C"/>
    <w:rsid w:val="41E122A0"/>
    <w:rsid w:val="442F526C"/>
    <w:rsid w:val="446F3F0B"/>
    <w:rsid w:val="44E54AD2"/>
    <w:rsid w:val="467B4E31"/>
    <w:rsid w:val="468531C2"/>
    <w:rsid w:val="483154F7"/>
    <w:rsid w:val="4DF22FCB"/>
    <w:rsid w:val="4EF95C9F"/>
    <w:rsid w:val="4F3007F7"/>
    <w:rsid w:val="4F4E7DA7"/>
    <w:rsid w:val="4F6625B8"/>
    <w:rsid w:val="50B614F7"/>
    <w:rsid w:val="50E00497"/>
    <w:rsid w:val="523A75F1"/>
    <w:rsid w:val="53973B5E"/>
    <w:rsid w:val="53C40EE1"/>
    <w:rsid w:val="553426D6"/>
    <w:rsid w:val="55FE2412"/>
    <w:rsid w:val="56FA45C0"/>
    <w:rsid w:val="5777520F"/>
    <w:rsid w:val="57A8094E"/>
    <w:rsid w:val="59EA49F1"/>
    <w:rsid w:val="5A271662"/>
    <w:rsid w:val="5B621044"/>
    <w:rsid w:val="5D6717CB"/>
    <w:rsid w:val="5F1A6C63"/>
    <w:rsid w:val="5F4408D8"/>
    <w:rsid w:val="602F0F16"/>
    <w:rsid w:val="618D7518"/>
    <w:rsid w:val="61E202A7"/>
    <w:rsid w:val="641D523F"/>
    <w:rsid w:val="66284A64"/>
    <w:rsid w:val="672C5FEA"/>
    <w:rsid w:val="6861404E"/>
    <w:rsid w:val="68FA3BEC"/>
    <w:rsid w:val="69DB267B"/>
    <w:rsid w:val="6A3251DF"/>
    <w:rsid w:val="6D1631BC"/>
    <w:rsid w:val="6E5B73E8"/>
    <w:rsid w:val="6F203CBF"/>
    <w:rsid w:val="73F06017"/>
    <w:rsid w:val="749A05DB"/>
    <w:rsid w:val="75170F87"/>
    <w:rsid w:val="75DA26B5"/>
    <w:rsid w:val="75FF7EA2"/>
    <w:rsid w:val="7C0A49EE"/>
    <w:rsid w:val="7C81655E"/>
    <w:rsid w:val="7CE3398A"/>
    <w:rsid w:val="7D964715"/>
    <w:rsid w:val="7E480CD3"/>
    <w:rsid w:val="7E870BA6"/>
    <w:rsid w:val="7FAF520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unhideWhenUsed/>
    <w:qFormat/>
    <w:uiPriority w:val="0"/>
    <w:pPr>
      <w:keepNext/>
      <w:keepLines/>
      <w:spacing w:before="260" w:after="260" w:line="416" w:lineRule="auto"/>
      <w:outlineLvl w:val="1"/>
    </w:pPr>
    <w:rPr>
      <w:rFonts w:ascii="Arial" w:hAnsi="Arial" w:eastAsia="黑体"/>
      <w:b/>
      <w:bCs/>
      <w:sz w:val="32"/>
      <w:szCs w:val="32"/>
    </w:rPr>
  </w:style>
  <w:style w:type="character" w:default="1" w:styleId="17">
    <w:name w:val="Default Paragraph Font"/>
    <w:unhideWhenUsed/>
    <w:qFormat/>
    <w:uiPriority w:val="1"/>
  </w:style>
  <w:style w:type="table" w:default="1" w:styleId="15">
    <w:name w:val="Normal Table"/>
    <w:unhideWhenUsed/>
    <w:uiPriority w:val="99"/>
    <w:tblPr>
      <w:tblCellMar>
        <w:top w:w="0" w:type="dxa"/>
        <w:left w:w="108" w:type="dxa"/>
        <w:bottom w:w="0" w:type="dxa"/>
        <w:right w:w="108" w:type="dxa"/>
      </w:tblCellMar>
    </w:tblPr>
  </w:style>
  <w:style w:type="paragraph" w:styleId="4">
    <w:name w:val="annotation text"/>
    <w:basedOn w:val="1"/>
    <w:link w:val="28"/>
    <w:qFormat/>
    <w:uiPriority w:val="0"/>
    <w:pPr>
      <w:jc w:val="left"/>
    </w:pPr>
  </w:style>
  <w:style w:type="paragraph" w:styleId="5">
    <w:name w:val="Body Text"/>
    <w:basedOn w:val="1"/>
    <w:next w:val="6"/>
    <w:uiPriority w:val="0"/>
    <w:pPr>
      <w:spacing w:after="120"/>
    </w:pPr>
  </w:style>
  <w:style w:type="paragraph" w:styleId="6">
    <w:name w:val="Body Text First Indent"/>
    <w:basedOn w:val="5"/>
    <w:next w:val="1"/>
    <w:uiPriority w:val="0"/>
    <w:pPr>
      <w:autoSpaceDE w:val="0"/>
      <w:autoSpaceDN w:val="0"/>
      <w:adjustRightInd w:val="0"/>
      <w:spacing w:after="0" w:line="600" w:lineRule="atLeast"/>
      <w:ind w:firstLine="652"/>
      <w:textAlignment w:val="baseline"/>
    </w:pPr>
    <w:rPr>
      <w:kern w:val="0"/>
      <w:szCs w:val="32"/>
    </w:rPr>
  </w:style>
  <w:style w:type="paragraph" w:styleId="7">
    <w:name w:val="Body Text Indent"/>
    <w:basedOn w:val="1"/>
    <w:uiPriority w:val="0"/>
    <w:pPr>
      <w:ind w:firstLine="640" w:firstLineChars="200"/>
    </w:pPr>
    <w:rPr>
      <w:rFonts w:ascii="仿宋_GB2312" w:hAnsi="宋体" w:eastAsia="仿宋_GB2312"/>
      <w:sz w:val="32"/>
    </w:rPr>
  </w:style>
  <w:style w:type="paragraph" w:styleId="8">
    <w:name w:val="Balloon Text"/>
    <w:basedOn w:val="1"/>
    <w:link w:val="27"/>
    <w:uiPriority w:val="0"/>
    <w:rPr>
      <w:sz w:val="18"/>
      <w:szCs w:val="18"/>
    </w:rPr>
  </w:style>
  <w:style w:type="paragraph" w:styleId="9">
    <w:name w:val="footer"/>
    <w:basedOn w:val="1"/>
    <w:link w:val="26"/>
    <w:uiPriority w:val="99"/>
    <w:pPr>
      <w:tabs>
        <w:tab w:val="center" w:pos="4153"/>
        <w:tab w:val="right" w:pos="8306"/>
      </w:tabs>
      <w:snapToGrid w:val="0"/>
      <w:jc w:val="left"/>
    </w:pPr>
    <w:rPr>
      <w:sz w:val="18"/>
      <w:szCs w:val="18"/>
    </w:rPr>
  </w:style>
  <w:style w:type="paragraph" w:styleId="10">
    <w:name w:val="header"/>
    <w:basedOn w:val="1"/>
    <w:link w:val="25"/>
    <w:uiPriority w:val="99"/>
    <w:pPr>
      <w:pBdr>
        <w:bottom w:val="single" w:color="auto" w:sz="6" w:space="1"/>
      </w:pBdr>
      <w:tabs>
        <w:tab w:val="center" w:pos="4153"/>
        <w:tab w:val="right" w:pos="8306"/>
      </w:tabs>
      <w:snapToGrid w:val="0"/>
      <w:jc w:val="center"/>
    </w:pPr>
    <w:rPr>
      <w:sz w:val="18"/>
      <w:szCs w:val="18"/>
    </w:rPr>
  </w:style>
  <w:style w:type="paragraph" w:styleId="11">
    <w:name w:val="toc 1"/>
    <w:basedOn w:val="1"/>
    <w:next w:val="1"/>
    <w:uiPriority w:val="0"/>
  </w:style>
  <w:style w:type="paragraph" w:styleId="12">
    <w:name w:val="toc 2"/>
    <w:basedOn w:val="1"/>
    <w:next w:val="1"/>
    <w:qFormat/>
    <w:uiPriority w:val="0"/>
    <w:pPr>
      <w:tabs>
        <w:tab w:val="right" w:leader="dot" w:pos="8834"/>
      </w:tabs>
      <w:spacing w:line="500" w:lineRule="exact"/>
      <w:ind w:left="420" w:leftChars="200"/>
    </w:pPr>
    <w:rPr>
      <w:rFonts w:ascii="楷体_GB2312" w:hAnsi="楷体_GB2312" w:eastAsia="楷体_GB2312"/>
      <w:sz w:val="28"/>
      <w:szCs w:val="28"/>
    </w:rPr>
  </w:style>
  <w:style w:type="paragraph" w:styleId="13">
    <w:name w:val="Title"/>
    <w:basedOn w:val="1"/>
    <w:next w:val="1"/>
    <w:qFormat/>
    <w:uiPriority w:val="0"/>
    <w:pPr>
      <w:spacing w:line="360" w:lineRule="auto"/>
      <w:jc w:val="center"/>
    </w:pPr>
    <w:rPr>
      <w:rFonts w:ascii="仿宋_GB2312"/>
      <w:b/>
      <w:sz w:val="52"/>
      <w:szCs w:val="52"/>
    </w:rPr>
  </w:style>
  <w:style w:type="paragraph" w:styleId="14">
    <w:name w:val="annotation subject"/>
    <w:basedOn w:val="4"/>
    <w:next w:val="4"/>
    <w:link w:val="29"/>
    <w:qFormat/>
    <w:uiPriority w:val="0"/>
    <w:rPr>
      <w:b/>
      <w:bCs/>
    </w:r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character" w:styleId="19">
    <w:name w:val="FollowedHyperlink"/>
    <w:basedOn w:val="17"/>
    <w:qFormat/>
    <w:uiPriority w:val="0"/>
    <w:rPr>
      <w:color w:val="333333"/>
      <w:u w:val="none"/>
    </w:rPr>
  </w:style>
  <w:style w:type="character" w:styleId="20">
    <w:name w:val="Hyperlink"/>
    <w:basedOn w:val="17"/>
    <w:uiPriority w:val="0"/>
    <w:rPr>
      <w:color w:val="333333"/>
      <w:u w:val="none"/>
    </w:rPr>
  </w:style>
  <w:style w:type="character" w:styleId="21">
    <w:name w:val="annotation reference"/>
    <w:basedOn w:val="17"/>
    <w:qFormat/>
    <w:uiPriority w:val="0"/>
    <w:rPr>
      <w:sz w:val="21"/>
      <w:szCs w:val="21"/>
    </w:rPr>
  </w:style>
  <w:style w:type="paragraph" w:customStyle="1" w:styleId="22">
    <w:name w:val="列表段落1"/>
    <w:basedOn w:val="1"/>
    <w:qFormat/>
    <w:uiPriority w:val="34"/>
    <w:pPr>
      <w:ind w:firstLine="420" w:firstLineChars="200"/>
    </w:pPr>
  </w:style>
  <w:style w:type="paragraph" w:customStyle="1" w:styleId="23">
    <w:name w:val="落款"/>
    <w:basedOn w:val="1"/>
    <w:qFormat/>
    <w:uiPriority w:val="0"/>
    <w:pPr>
      <w:spacing w:line="360" w:lineRule="auto"/>
      <w:jc w:val="center"/>
    </w:pPr>
    <w:rPr>
      <w:rFonts w:eastAsia="楷体_GB2312"/>
      <w:b/>
      <w:color w:val="000000"/>
      <w:szCs w:val="32"/>
    </w:rPr>
  </w:style>
  <w:style w:type="paragraph" w:customStyle="1" w:styleId="24">
    <w:name w:val="目录"/>
    <w:basedOn w:val="1"/>
    <w:qFormat/>
    <w:uiPriority w:val="0"/>
    <w:pPr>
      <w:ind w:firstLine="723"/>
      <w:jc w:val="center"/>
    </w:pPr>
    <w:rPr>
      <w:rFonts w:ascii="黑体" w:hAnsi="黑体" w:eastAsia="黑体"/>
      <w:b/>
      <w:sz w:val="36"/>
      <w:szCs w:val="36"/>
    </w:rPr>
  </w:style>
  <w:style w:type="character" w:customStyle="1" w:styleId="25">
    <w:name w:val="页眉 字符"/>
    <w:basedOn w:val="17"/>
    <w:link w:val="10"/>
    <w:qFormat/>
    <w:uiPriority w:val="99"/>
    <w:rPr>
      <w:kern w:val="2"/>
      <w:sz w:val="18"/>
      <w:szCs w:val="18"/>
    </w:rPr>
  </w:style>
  <w:style w:type="character" w:customStyle="1" w:styleId="26">
    <w:name w:val="页脚 字符"/>
    <w:basedOn w:val="17"/>
    <w:link w:val="9"/>
    <w:qFormat/>
    <w:uiPriority w:val="99"/>
    <w:rPr>
      <w:kern w:val="2"/>
      <w:sz w:val="18"/>
      <w:szCs w:val="18"/>
    </w:rPr>
  </w:style>
  <w:style w:type="character" w:customStyle="1" w:styleId="27">
    <w:name w:val="批注框文本 字符"/>
    <w:basedOn w:val="17"/>
    <w:link w:val="8"/>
    <w:qFormat/>
    <w:uiPriority w:val="0"/>
    <w:rPr>
      <w:kern w:val="2"/>
      <w:sz w:val="18"/>
      <w:szCs w:val="18"/>
    </w:rPr>
  </w:style>
  <w:style w:type="character" w:customStyle="1" w:styleId="28">
    <w:name w:val="批注文字 字符"/>
    <w:basedOn w:val="17"/>
    <w:link w:val="4"/>
    <w:qFormat/>
    <w:uiPriority w:val="0"/>
    <w:rPr>
      <w:kern w:val="2"/>
      <w:sz w:val="21"/>
      <w:szCs w:val="24"/>
    </w:rPr>
  </w:style>
  <w:style w:type="character" w:customStyle="1" w:styleId="29">
    <w:name w:val="批注主题 字符"/>
    <w:basedOn w:val="28"/>
    <w:link w:val="14"/>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textRotate="1"/>
    <customShpInfo spid="_x0000_s2050" textRotate="1"/>
    <customShpInfo spid="_x0000_s205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33</Pages>
  <Words>2581</Words>
  <Characters>14712</Characters>
  <Lines>122</Lines>
  <Paragraphs>34</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2020-10-03T01:51:00Z</dcterms:created>
  <dc:creator>Lai5088</dc:creator>
  <cp:lastModifiedBy>宇小羽</cp:lastModifiedBy>
  <cp:lastPrinted>2021-12-16T04:58:00Z</cp:lastPrinted>
  <dcterms:modified xsi:type="dcterms:W3CDTF">2022-11-14T05:32:37Z</dcterms:modified>
  <dc:title>余杭区民政事业发展十四五规划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EE92431AE3984A12B41DF5838A338264</vt:lpwstr>
  </property>
</Properties>
</file>